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kern w:val="0"/>
          <w:szCs w:val="21"/>
        </w:rPr>
      </w:pPr>
      <w:bookmarkStart w:id="0" w:name="_Toc511209037"/>
      <w:bookmarkStart w:id="1" w:name="_Toc511209430"/>
      <w:bookmarkStart w:id="2" w:name="_Toc448050339"/>
      <w:bookmarkStart w:id="3" w:name="_Toc475535572"/>
      <w:bookmarkStart w:id="4" w:name="_Toc505162670"/>
      <w:bookmarkStart w:id="5" w:name="_Toc508265952"/>
      <w:bookmarkStart w:id="6" w:name="OLE_LINK1"/>
      <w:bookmarkStart w:id="41" w:name="_GoBack"/>
      <w:bookmarkEnd w:id="41"/>
      <w:r>
        <w:rPr>
          <w:rFonts w:hint="eastAsia" w:ascii="宋体" w:hAnsi="宋体"/>
          <w:b/>
          <w:bCs/>
          <w:kern w:val="0"/>
          <w:sz w:val="24"/>
        </w:rPr>
        <w:t>附件1：</w:t>
      </w:r>
      <w:r>
        <w:rPr>
          <w:rFonts w:hint="eastAsia" w:ascii="宋体" w:hAnsi="宋体"/>
          <w:bCs/>
          <w:kern w:val="0"/>
          <w:sz w:val="24"/>
        </w:rPr>
        <w:t>企业投资参股的关联企业情况表</w:t>
      </w:r>
    </w:p>
    <w:p>
      <w:pPr>
        <w:widowControl/>
        <w:spacing w:line="360" w:lineRule="auto"/>
        <w:rPr>
          <w:rFonts w:ascii="宋体" w:hAnsi="宋体"/>
          <w:kern w:val="0"/>
          <w:szCs w:val="21"/>
        </w:rPr>
      </w:pPr>
    </w:p>
    <w:tbl>
      <w:tblPr>
        <w:tblStyle w:val="7"/>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867" w:hRule="atLeast"/>
          <w:jc w:val="center"/>
        </w:trPr>
        <w:tc>
          <w:tcPr>
            <w:tcW w:w="8522" w:type="dxa"/>
            <w:tcMar>
              <w:top w:w="0" w:type="dxa"/>
              <w:left w:w="108" w:type="dxa"/>
              <w:bottom w:w="0" w:type="dxa"/>
              <w:right w:w="108" w:type="dxa"/>
            </w:tcMar>
          </w:tcPr>
          <w:p>
            <w:pPr>
              <w:adjustRightInd w:val="0"/>
              <w:snapToGrid w:val="0"/>
              <w:ind w:firstLine="210" w:firstLineChars="100"/>
              <w:rPr>
                <w:rFonts w:ascii="宋体" w:hAnsi="宋体"/>
                <w:szCs w:val="21"/>
              </w:rPr>
            </w:pPr>
          </w:p>
          <w:p>
            <w:pPr>
              <w:adjustRightInd w:val="0"/>
              <w:snapToGrid w:val="0"/>
              <w:spacing w:line="480" w:lineRule="auto"/>
              <w:rPr>
                <w:rFonts w:ascii="宋体" w:hAnsi="宋体"/>
                <w:sz w:val="24"/>
              </w:rPr>
            </w:pPr>
            <w:r>
              <w:rPr>
                <w:rFonts w:hint="eastAsia" w:ascii="宋体" w:hAnsi="宋体"/>
                <w:sz w:val="24"/>
              </w:rPr>
              <w:t>申请购买比选文件的企业应提供其投资参股的关联企业情况，包括以下内容：</w:t>
            </w:r>
          </w:p>
          <w:p>
            <w:pPr>
              <w:adjustRightInd w:val="0"/>
              <w:snapToGrid w:val="0"/>
              <w:spacing w:line="480" w:lineRule="auto"/>
              <w:ind w:firstLine="480" w:firstLineChars="200"/>
              <w:rPr>
                <w:rFonts w:ascii="宋体" w:hAnsi="宋体"/>
                <w:sz w:val="24"/>
              </w:rPr>
            </w:pPr>
            <w:r>
              <w:rPr>
                <w:rFonts w:hint="eastAsia" w:ascii="宋体" w:hAnsi="宋体"/>
                <w:sz w:val="24"/>
              </w:rPr>
              <w:t>(1)与本单位负责人为同一人的其他单位名单；</w:t>
            </w:r>
          </w:p>
          <w:p>
            <w:pPr>
              <w:adjustRightInd w:val="0"/>
              <w:snapToGrid w:val="0"/>
              <w:spacing w:line="480" w:lineRule="auto"/>
              <w:ind w:firstLine="480" w:firstLineChars="200"/>
              <w:rPr>
                <w:rFonts w:ascii="宋体" w:hAnsi="宋体"/>
                <w:sz w:val="24"/>
              </w:rPr>
            </w:pPr>
            <w:r>
              <w:rPr>
                <w:rFonts w:hint="eastAsia" w:ascii="宋体" w:hAnsi="宋体"/>
                <w:sz w:val="24"/>
              </w:rPr>
              <w:t>(2)对本单位存在控股、管理关系的其他单位名单；</w:t>
            </w:r>
          </w:p>
          <w:p>
            <w:pPr>
              <w:adjustRightInd w:val="0"/>
              <w:snapToGrid w:val="0"/>
              <w:spacing w:line="480" w:lineRule="auto"/>
              <w:ind w:firstLine="360" w:firstLineChars="150"/>
              <w:rPr>
                <w:rFonts w:ascii="宋体" w:hAnsi="宋体"/>
                <w:sz w:val="24"/>
              </w:rPr>
            </w:pPr>
            <w:r>
              <w:rPr>
                <w:rFonts w:hint="eastAsia" w:ascii="宋体" w:hAnsi="宋体"/>
                <w:sz w:val="24"/>
              </w:rPr>
              <w:t>（3）本单位对其他单位存在控股、管理关系的名单。</w:t>
            </w:r>
          </w:p>
          <w:p>
            <w:pPr>
              <w:adjustRightInd w:val="0"/>
              <w:snapToGrid w:val="0"/>
              <w:spacing w:line="360" w:lineRule="auto"/>
              <w:ind w:firstLine="210" w:firstLineChars="100"/>
              <w:jc w:val="left"/>
              <w:rPr>
                <w:rFonts w:ascii="宋体" w:hAnsi="宋体"/>
                <w:szCs w:val="21"/>
              </w:rPr>
            </w:pPr>
          </w:p>
          <w:p>
            <w:pPr>
              <w:wordWrap w:val="0"/>
              <w:adjustRightInd w:val="0"/>
              <w:snapToGrid w:val="0"/>
              <w:spacing w:line="360" w:lineRule="auto"/>
              <w:ind w:firstLine="240" w:firstLineChars="100"/>
              <w:jc w:val="right"/>
              <w:rPr>
                <w:rFonts w:ascii="宋体" w:hAnsi="宋体"/>
                <w:szCs w:val="21"/>
              </w:rPr>
            </w:pPr>
            <w:r>
              <w:rPr>
                <w:rFonts w:hint="eastAsia" w:ascii="宋体" w:hAnsi="宋体"/>
                <w:sz w:val="24"/>
              </w:rPr>
              <w:t xml:space="preserve">（单位盖章）           </w:t>
            </w:r>
          </w:p>
        </w:tc>
      </w:tr>
    </w:tbl>
    <w:p>
      <w:pPr>
        <w:rPr>
          <w:rFonts w:ascii="宋体" w:hAnsi="宋体"/>
          <w:b/>
        </w:rPr>
      </w:pPr>
      <w:r>
        <w:rPr>
          <w:rFonts w:hint="eastAsia" w:ascii="宋体" w:hAnsi="宋体"/>
          <w:b/>
        </w:rPr>
        <w:t>注：（1）如不存在以上某种情况，请在其后填写“无”。</w:t>
      </w:r>
    </w:p>
    <w:p>
      <w:pPr>
        <w:widowControl/>
        <w:snapToGrid w:val="0"/>
        <w:spacing w:before="156" w:line="360" w:lineRule="auto"/>
        <w:ind w:firstLine="316" w:firstLineChars="150"/>
        <w:rPr>
          <w:b/>
        </w:rPr>
      </w:pPr>
      <w:r>
        <w:rPr>
          <w:rFonts w:hint="eastAsia" w:ascii="宋体" w:hAnsi="宋体"/>
          <w:b/>
        </w:rPr>
        <w:t>（2）申请人应如实填报此表，否则因其投标影响招标公正性的，其投标无效，并视为弄虚作假。</w:t>
      </w:r>
    </w:p>
    <w:p>
      <w:pPr>
        <w:widowControl/>
        <w:jc w:val="left"/>
        <w:rPr>
          <w:rFonts w:ascii="宋体" w:hAnsi="宋体"/>
          <w:kern w:val="0"/>
        </w:rPr>
      </w:pPr>
    </w:p>
    <w:p>
      <w:pPr>
        <w:widowControl/>
        <w:jc w:val="left"/>
        <w:rPr>
          <w:rFonts w:ascii="宋体" w:hAnsi="宋体" w:cs="宋体"/>
          <w:b/>
          <w:bCs/>
          <w:kern w:val="0"/>
          <w:sz w:val="28"/>
          <w:szCs w:val="28"/>
        </w:rPr>
      </w:pPr>
      <w:r>
        <w:rPr>
          <w:rFonts w:ascii="宋体" w:hAnsi="宋体" w:cs="宋体"/>
          <w:b/>
          <w:bCs/>
          <w:kern w:val="0"/>
          <w:sz w:val="28"/>
          <w:szCs w:val="28"/>
        </w:rPr>
        <w:br w:type="page"/>
      </w:r>
    </w:p>
    <w:p>
      <w:pPr>
        <w:widowControl/>
        <w:spacing w:before="100" w:beforeAutospacing="1" w:after="100" w:afterAutospacing="1"/>
        <w:jc w:val="left"/>
        <w:outlineLvl w:val="2"/>
        <w:rPr>
          <w:rFonts w:ascii="宋体" w:hAnsi="宋体" w:cs="宋体"/>
          <w:b/>
          <w:bCs/>
          <w:kern w:val="0"/>
          <w:sz w:val="28"/>
          <w:szCs w:val="28"/>
        </w:rPr>
      </w:pPr>
      <w:r>
        <w:rPr>
          <w:rFonts w:hint="eastAsia" w:ascii="宋体" w:hAnsi="宋体" w:cs="宋体"/>
          <w:b/>
          <w:bCs/>
          <w:kern w:val="0"/>
          <w:sz w:val="28"/>
          <w:szCs w:val="28"/>
        </w:rPr>
        <w:t>附件2：资格审查条件</w:t>
      </w:r>
      <w:bookmarkEnd w:id="0"/>
      <w:bookmarkEnd w:id="1"/>
      <w:bookmarkEnd w:id="2"/>
      <w:bookmarkEnd w:id="3"/>
      <w:bookmarkEnd w:id="4"/>
      <w:bookmarkEnd w:id="5"/>
    </w:p>
    <w:p>
      <w:pPr>
        <w:pStyle w:val="2"/>
        <w:spacing w:line="280" w:lineRule="exact"/>
        <w:jc w:val="center"/>
        <w:rPr>
          <w:rFonts w:ascii="宋体" w:hAnsi="宋体"/>
          <w:szCs w:val="24"/>
        </w:rPr>
      </w:pPr>
      <w:bookmarkStart w:id="7" w:name="_Toc448050340"/>
      <w:bookmarkStart w:id="8" w:name="_Toc475535573"/>
      <w:bookmarkStart w:id="9" w:name="_Toc505162671"/>
      <w:bookmarkStart w:id="10" w:name="_Toc508265953"/>
      <w:bookmarkStart w:id="11" w:name="_Toc511209038"/>
      <w:bookmarkStart w:id="12" w:name="_Toc511209431"/>
      <w:r>
        <w:rPr>
          <w:rFonts w:hint="eastAsia" w:ascii="宋体" w:hAnsi="宋体"/>
          <w:szCs w:val="24"/>
        </w:rPr>
        <w:t>附录1资格审查条件(资质最低条件)</w:t>
      </w:r>
      <w:bookmarkEnd w:id="7"/>
      <w:bookmarkEnd w:id="8"/>
      <w:bookmarkEnd w:id="9"/>
      <w:bookmarkEnd w:id="10"/>
      <w:bookmarkEnd w:id="11"/>
      <w:bookmarkEnd w:id="12"/>
    </w:p>
    <w:p>
      <w:pPr>
        <w:jc w:val="center"/>
        <w:rPr>
          <w:rFonts w:ascii="宋体" w:hAnsi="宋体"/>
        </w:rPr>
      </w:pPr>
    </w:p>
    <w:tbl>
      <w:tblPr>
        <w:tblStyle w:val="7"/>
        <w:tblW w:w="97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trPr>
        <w:tc>
          <w:tcPr>
            <w:tcW w:w="9706" w:type="dxa"/>
            <w:vAlign w:val="center"/>
          </w:tcPr>
          <w:p>
            <w:pPr>
              <w:spacing w:beforeLines="50" w:afterLines="50" w:line="400" w:lineRule="exact"/>
              <w:ind w:firstLine="422" w:firstLineChars="200"/>
              <w:rPr>
                <w:rFonts w:ascii="宋体" w:hAnsi="宋体"/>
                <w:b/>
                <w:szCs w:val="21"/>
              </w:rPr>
            </w:pPr>
            <w:r>
              <w:rPr>
                <w:rFonts w:ascii="宋体" w:hAnsi="宋体"/>
                <w:b/>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3" w:hRule="atLeast"/>
        </w:trPr>
        <w:tc>
          <w:tcPr>
            <w:tcW w:w="9706" w:type="dxa"/>
            <w:vAlign w:val="center"/>
          </w:tcPr>
          <w:p>
            <w:pPr>
              <w:spacing w:line="280" w:lineRule="exact"/>
              <w:rPr>
                <w:rFonts w:ascii="宋体" w:hAnsi="宋体"/>
                <w:szCs w:val="21"/>
              </w:rPr>
            </w:pPr>
            <w:r>
              <w:rPr>
                <w:rFonts w:hint="eastAsia" w:ascii="Calibri" w:hAnsi="Calibri"/>
                <w:szCs w:val="21"/>
              </w:rPr>
              <w:t xml:space="preserve">    具备独立法人资格，具有住房和城乡建设主管部门批准的建筑工程施工总承包三级或以上资质，具有有效的安全生产许可证。</w:t>
            </w:r>
          </w:p>
        </w:tc>
      </w:tr>
    </w:tbl>
    <w:p>
      <w:pPr>
        <w:pStyle w:val="2"/>
        <w:spacing w:line="280" w:lineRule="exact"/>
        <w:jc w:val="center"/>
        <w:rPr>
          <w:rFonts w:ascii="宋体" w:hAnsi="宋体"/>
          <w:szCs w:val="24"/>
        </w:rPr>
      </w:pPr>
      <w:bookmarkStart w:id="13" w:name="_Toc448050341"/>
    </w:p>
    <w:p>
      <w:pPr>
        <w:pStyle w:val="2"/>
        <w:spacing w:line="280" w:lineRule="exact"/>
        <w:jc w:val="center"/>
        <w:rPr>
          <w:rFonts w:ascii="宋体" w:hAnsi="宋体"/>
          <w:szCs w:val="24"/>
        </w:rPr>
      </w:pPr>
      <w:bookmarkStart w:id="14" w:name="_Toc475535575"/>
      <w:bookmarkStart w:id="15" w:name="_Toc505162673"/>
      <w:bookmarkStart w:id="16" w:name="_Toc508265955"/>
      <w:bookmarkStart w:id="17" w:name="_Toc511209040"/>
      <w:bookmarkStart w:id="18" w:name="_Toc511209433"/>
      <w:r>
        <w:rPr>
          <w:rFonts w:hint="eastAsia" w:ascii="宋体" w:hAnsi="宋体"/>
          <w:szCs w:val="24"/>
        </w:rPr>
        <w:t>附录2资格审查条件(业绩最低条件)</w:t>
      </w:r>
      <w:bookmarkEnd w:id="13"/>
      <w:bookmarkEnd w:id="14"/>
      <w:bookmarkEnd w:id="15"/>
      <w:bookmarkEnd w:id="16"/>
      <w:bookmarkEnd w:id="17"/>
      <w:bookmarkEnd w:id="18"/>
    </w:p>
    <w:p/>
    <w:tbl>
      <w:tblPr>
        <w:tblStyle w:val="7"/>
        <w:tblW w:w="97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9706" w:type="dxa"/>
            <w:vAlign w:val="center"/>
          </w:tcPr>
          <w:p>
            <w:pPr>
              <w:spacing w:line="280" w:lineRule="exact"/>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9706" w:type="dxa"/>
            <w:vAlign w:val="center"/>
          </w:tcPr>
          <w:p>
            <w:pPr>
              <w:spacing w:line="280" w:lineRule="exact"/>
              <w:ind w:firstLine="210" w:firstLineChars="100"/>
              <w:rPr>
                <w:rFonts w:ascii="宋体" w:hAnsi="宋体"/>
                <w:szCs w:val="21"/>
              </w:rPr>
            </w:pPr>
            <w:r>
              <w:rPr>
                <w:rFonts w:hint="eastAsia" w:ascii="Calibri" w:hAnsi="Calibri"/>
                <w:szCs w:val="21"/>
              </w:rPr>
              <w:t>近5年内（</w:t>
            </w:r>
            <w:r>
              <w:rPr>
                <w:rFonts w:ascii="Calibri" w:hAnsi="Calibri"/>
                <w:szCs w:val="21"/>
              </w:rPr>
              <w:t>201</w:t>
            </w:r>
            <w:r>
              <w:rPr>
                <w:rFonts w:hint="eastAsia" w:ascii="Calibri" w:hAnsi="Calibri"/>
                <w:szCs w:val="21"/>
              </w:rPr>
              <w:t>4年5月</w:t>
            </w:r>
            <w:r>
              <w:rPr>
                <w:rFonts w:ascii="Calibri" w:hAnsi="Calibri"/>
                <w:szCs w:val="21"/>
              </w:rPr>
              <w:t>1</w:t>
            </w:r>
            <w:r>
              <w:rPr>
                <w:rFonts w:hint="eastAsia" w:ascii="Calibri" w:hAnsi="Calibri"/>
                <w:szCs w:val="21"/>
              </w:rPr>
              <w:t>日至今，以交工时间为准）</w:t>
            </w:r>
            <w:r>
              <w:rPr>
                <w:rFonts w:hint="eastAsia" w:ascii="宋体" w:hAnsi="宋体"/>
                <w:szCs w:val="21"/>
              </w:rPr>
              <w:t>有完成1项建筑工程施工业绩。</w:t>
            </w:r>
          </w:p>
        </w:tc>
      </w:tr>
    </w:tbl>
    <w:p>
      <w:pPr>
        <w:pStyle w:val="2"/>
        <w:spacing w:line="280" w:lineRule="exact"/>
        <w:jc w:val="center"/>
        <w:rPr>
          <w:rFonts w:ascii="宋体" w:hAnsi="宋体"/>
          <w:szCs w:val="24"/>
        </w:rPr>
      </w:pPr>
      <w:bookmarkStart w:id="19" w:name="_Toc448050342"/>
    </w:p>
    <w:p>
      <w:pPr>
        <w:pStyle w:val="2"/>
        <w:spacing w:line="280" w:lineRule="exact"/>
        <w:jc w:val="center"/>
        <w:rPr>
          <w:rFonts w:ascii="宋体" w:hAnsi="宋体"/>
          <w:szCs w:val="24"/>
        </w:rPr>
      </w:pPr>
      <w:bookmarkStart w:id="20" w:name="_Toc475535576"/>
      <w:bookmarkStart w:id="21" w:name="_Toc505162674"/>
      <w:bookmarkStart w:id="22" w:name="_Toc508265956"/>
      <w:bookmarkStart w:id="23" w:name="_Toc511209041"/>
      <w:bookmarkStart w:id="24" w:name="_Toc511209434"/>
      <w:r>
        <w:rPr>
          <w:rFonts w:hint="eastAsia" w:ascii="宋体" w:hAnsi="宋体"/>
          <w:szCs w:val="24"/>
        </w:rPr>
        <w:t>附录3资格审查条件(信誉最低条件)</w:t>
      </w:r>
      <w:bookmarkEnd w:id="19"/>
      <w:bookmarkEnd w:id="20"/>
      <w:bookmarkEnd w:id="21"/>
      <w:bookmarkEnd w:id="22"/>
      <w:bookmarkEnd w:id="23"/>
      <w:bookmarkEnd w:id="24"/>
    </w:p>
    <w:p/>
    <w:tbl>
      <w:tblPr>
        <w:tblStyle w:val="7"/>
        <w:tblW w:w="9740"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9740" w:type="dxa"/>
            <w:vAlign w:val="center"/>
          </w:tcPr>
          <w:p>
            <w:pPr>
              <w:spacing w:line="280" w:lineRule="exact"/>
              <w:rPr>
                <w:rFonts w:ascii="宋体" w:hAnsi="宋体"/>
              </w:rPr>
            </w:pPr>
            <w:r>
              <w:rPr>
                <w:rFonts w:hint="eastAsia" w:ascii="宋体" w:hAnsi="宋体"/>
              </w:rPr>
              <w:t>信誉要求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9740" w:type="dxa"/>
            <w:vMerge w:val="restart"/>
            <w:vAlign w:val="center"/>
          </w:tcPr>
          <w:p>
            <w:pPr>
              <w:spacing w:line="280" w:lineRule="exact"/>
              <w:ind w:firstLine="420" w:firstLineChars="200"/>
              <w:rPr>
                <w:rFonts w:ascii="宋体" w:hAnsi="宋体"/>
              </w:rPr>
            </w:pPr>
            <w:r>
              <w:rPr>
                <w:rFonts w:hint="eastAsia" w:ascii="宋体" w:hAnsi="宋体"/>
              </w:rPr>
              <w:t>1、比选申请人在近1年（2018年5月1日至今）中不曾在工程合同中违约而被逐或因比选申请人自身的原因而使工程合同被解除。</w:t>
            </w:r>
          </w:p>
          <w:p>
            <w:pPr>
              <w:spacing w:line="280" w:lineRule="exact"/>
              <w:ind w:firstLine="420" w:firstLineChars="200"/>
              <w:rPr>
                <w:rFonts w:ascii="宋体" w:hAnsi="宋体"/>
              </w:rPr>
            </w:pPr>
            <w:r>
              <w:rPr>
                <w:rFonts w:hint="eastAsia" w:ascii="宋体" w:hAnsi="宋体"/>
              </w:rPr>
              <w:t>2、</w:t>
            </w:r>
            <w:r>
              <w:rPr>
                <w:rFonts w:hint="eastAsia" w:ascii="宋体" w:hAnsi="宋体"/>
                <w:szCs w:val="21"/>
              </w:rPr>
              <w:t>比选申请人未被列入国家信息中心“信用中国”失信被执行人名单。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9740" w:type="dxa"/>
            <w:vMerge w:val="continue"/>
            <w:vAlign w:val="center"/>
          </w:tcPr>
          <w:p>
            <w:pPr>
              <w:spacing w:line="280" w:lineRule="exact"/>
              <w:ind w:firstLine="420" w:firstLineChars="200"/>
              <w:rPr>
                <w:rFonts w:ascii="宋体" w:hAnsi="宋体"/>
              </w:rPr>
            </w:pPr>
          </w:p>
        </w:tc>
      </w:tr>
    </w:tbl>
    <w:p>
      <w:pPr>
        <w:pStyle w:val="2"/>
        <w:spacing w:line="280" w:lineRule="exact"/>
        <w:jc w:val="center"/>
        <w:rPr>
          <w:rFonts w:ascii="宋体" w:hAnsi="宋体"/>
          <w:szCs w:val="24"/>
        </w:rPr>
      </w:pPr>
      <w:bookmarkStart w:id="25" w:name="_Toc511209435"/>
      <w:bookmarkStart w:id="26" w:name="_Toc448050343"/>
      <w:bookmarkStart w:id="27" w:name="_Toc475535577"/>
      <w:bookmarkStart w:id="28" w:name="_Toc505162675"/>
      <w:bookmarkStart w:id="29" w:name="_Toc508265957"/>
      <w:bookmarkStart w:id="30" w:name="_Toc511209042"/>
    </w:p>
    <w:p>
      <w:pPr>
        <w:pStyle w:val="2"/>
        <w:spacing w:line="280" w:lineRule="exact"/>
        <w:jc w:val="center"/>
        <w:rPr>
          <w:rFonts w:ascii="宋体" w:hAnsi="宋体"/>
          <w:szCs w:val="24"/>
        </w:rPr>
      </w:pPr>
      <w:r>
        <w:rPr>
          <w:rFonts w:hint="eastAsia" w:ascii="宋体" w:hAnsi="宋体"/>
          <w:szCs w:val="24"/>
        </w:rPr>
        <w:t>附录4资格审查条件(项目经理及项目总工最低要求)</w:t>
      </w:r>
      <w:bookmarkEnd w:id="25"/>
      <w:bookmarkEnd w:id="26"/>
      <w:bookmarkEnd w:id="27"/>
      <w:bookmarkEnd w:id="28"/>
      <w:bookmarkEnd w:id="29"/>
      <w:bookmarkEnd w:id="30"/>
    </w:p>
    <w:tbl>
      <w:tblPr>
        <w:tblStyle w:val="7"/>
        <w:tblpPr w:leftFromText="180" w:rightFromText="180" w:vertAnchor="text" w:horzAnchor="margin" w:tblpX="-34" w:tblpY="1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3"/>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242" w:type="dxa"/>
            <w:vAlign w:val="center"/>
          </w:tcPr>
          <w:p>
            <w:pPr>
              <w:rPr>
                <w:szCs w:val="21"/>
              </w:rPr>
            </w:pPr>
            <w:r>
              <w:rPr>
                <w:szCs w:val="21"/>
              </w:rPr>
              <w:t>人员</w:t>
            </w:r>
          </w:p>
        </w:tc>
        <w:tc>
          <w:tcPr>
            <w:tcW w:w="703" w:type="dxa"/>
            <w:vAlign w:val="center"/>
          </w:tcPr>
          <w:p>
            <w:pPr>
              <w:rPr>
                <w:szCs w:val="21"/>
              </w:rPr>
            </w:pPr>
            <w:r>
              <w:rPr>
                <w:szCs w:val="21"/>
              </w:rPr>
              <w:t>数量</w:t>
            </w:r>
          </w:p>
        </w:tc>
        <w:tc>
          <w:tcPr>
            <w:tcW w:w="7802" w:type="dxa"/>
            <w:vAlign w:val="center"/>
          </w:tcPr>
          <w:p>
            <w:pPr>
              <w:rPr>
                <w:szCs w:val="21"/>
              </w:rPr>
            </w:pPr>
            <w:r>
              <w:rPr>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1242" w:type="dxa"/>
            <w:vAlign w:val="center"/>
          </w:tcPr>
          <w:p>
            <w:pPr>
              <w:pStyle w:val="6"/>
              <w:jc w:val="center"/>
              <w:rPr>
                <w:rFonts w:ascii="微软雅黑" w:hAnsi="微软雅黑" w:eastAsia="微软雅黑"/>
                <w:sz w:val="21"/>
                <w:szCs w:val="21"/>
              </w:rPr>
            </w:pPr>
            <w:r>
              <w:rPr>
                <w:rFonts w:hint="eastAsia"/>
                <w:sz w:val="21"/>
                <w:szCs w:val="21"/>
              </w:rPr>
              <w:t>项目经理</w:t>
            </w:r>
            <w:r>
              <w:rPr>
                <w:rFonts w:hint="eastAsia" w:ascii="微软雅黑" w:hAnsi="微软雅黑" w:eastAsia="微软雅黑"/>
                <w:sz w:val="21"/>
                <w:szCs w:val="21"/>
              </w:rPr>
              <w:t xml:space="preserve"> </w:t>
            </w:r>
          </w:p>
        </w:tc>
        <w:tc>
          <w:tcPr>
            <w:tcW w:w="703" w:type="dxa"/>
            <w:vAlign w:val="center"/>
          </w:tcPr>
          <w:p>
            <w:pPr>
              <w:pStyle w:val="6"/>
              <w:jc w:val="center"/>
              <w:rPr>
                <w:rFonts w:ascii="微软雅黑" w:hAnsi="微软雅黑" w:eastAsia="微软雅黑"/>
                <w:sz w:val="21"/>
                <w:szCs w:val="21"/>
              </w:rPr>
            </w:pPr>
            <w:r>
              <w:rPr>
                <w:rFonts w:hint="eastAsia"/>
                <w:sz w:val="21"/>
                <w:szCs w:val="21"/>
              </w:rPr>
              <w:t>1</w:t>
            </w:r>
            <w:r>
              <w:rPr>
                <w:rFonts w:hint="eastAsia" w:ascii="微软雅黑" w:hAnsi="微软雅黑" w:eastAsia="微软雅黑"/>
                <w:sz w:val="21"/>
                <w:szCs w:val="21"/>
              </w:rPr>
              <w:t xml:space="preserve"> </w:t>
            </w:r>
          </w:p>
        </w:tc>
        <w:tc>
          <w:tcPr>
            <w:tcW w:w="7802" w:type="dxa"/>
            <w:vAlign w:val="center"/>
          </w:tcPr>
          <w:p>
            <w:pPr>
              <w:adjustRightInd w:val="0"/>
              <w:snapToGrid w:val="0"/>
              <w:spacing w:line="300" w:lineRule="exact"/>
              <w:rPr>
                <w:rFonts w:ascii="宋体" w:hAnsi="宋体" w:cs="宋体"/>
              </w:rPr>
            </w:pPr>
            <w:r>
              <w:rPr>
                <w:rFonts w:hint="eastAsia" w:ascii="Calibri" w:hAnsi="Calibri"/>
                <w:szCs w:val="21"/>
              </w:rPr>
              <w:t>工程师或以上职称，工民建及相关专业；具有“二级或以上建造师注册证书”（建筑工程专业），具有建设行政主管部门颁发的《安全生产考核合格证书》（</w:t>
            </w:r>
            <w:r>
              <w:rPr>
                <w:rFonts w:ascii="Calibri" w:hAnsi="Calibri"/>
                <w:szCs w:val="21"/>
              </w:rPr>
              <w:t>B</w:t>
            </w:r>
            <w:r>
              <w:rPr>
                <w:rFonts w:hint="eastAsia" w:ascii="Calibri" w:hAnsi="Calibri"/>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1242" w:type="dxa"/>
            <w:vAlign w:val="center"/>
          </w:tcPr>
          <w:p>
            <w:pPr>
              <w:pStyle w:val="6"/>
              <w:jc w:val="center"/>
              <w:rPr>
                <w:rFonts w:ascii="微软雅黑" w:hAnsi="微软雅黑" w:eastAsia="微软雅黑"/>
                <w:sz w:val="21"/>
                <w:szCs w:val="21"/>
              </w:rPr>
            </w:pPr>
            <w:r>
              <w:rPr>
                <w:rFonts w:hint="eastAsia"/>
                <w:sz w:val="21"/>
                <w:szCs w:val="21"/>
              </w:rPr>
              <w:t>项目总工</w:t>
            </w:r>
            <w:r>
              <w:rPr>
                <w:rFonts w:hint="eastAsia" w:ascii="微软雅黑" w:hAnsi="微软雅黑" w:eastAsia="微软雅黑"/>
                <w:sz w:val="21"/>
                <w:szCs w:val="21"/>
              </w:rPr>
              <w:t xml:space="preserve"> </w:t>
            </w:r>
          </w:p>
        </w:tc>
        <w:tc>
          <w:tcPr>
            <w:tcW w:w="703" w:type="dxa"/>
            <w:vAlign w:val="center"/>
          </w:tcPr>
          <w:p>
            <w:pPr>
              <w:pStyle w:val="6"/>
              <w:jc w:val="center"/>
              <w:rPr>
                <w:rFonts w:ascii="微软雅黑" w:hAnsi="微软雅黑" w:eastAsia="微软雅黑"/>
                <w:sz w:val="21"/>
                <w:szCs w:val="21"/>
              </w:rPr>
            </w:pPr>
            <w:r>
              <w:rPr>
                <w:rFonts w:hint="eastAsia"/>
                <w:sz w:val="21"/>
                <w:szCs w:val="21"/>
              </w:rPr>
              <w:t>1</w:t>
            </w:r>
            <w:r>
              <w:rPr>
                <w:rFonts w:hint="eastAsia" w:ascii="微软雅黑" w:hAnsi="微软雅黑" w:eastAsia="微软雅黑"/>
                <w:sz w:val="21"/>
                <w:szCs w:val="21"/>
              </w:rPr>
              <w:t xml:space="preserve"> </w:t>
            </w:r>
          </w:p>
        </w:tc>
        <w:tc>
          <w:tcPr>
            <w:tcW w:w="7802" w:type="dxa"/>
            <w:vAlign w:val="center"/>
          </w:tcPr>
          <w:p>
            <w:pPr>
              <w:adjustRightInd w:val="0"/>
              <w:snapToGrid w:val="0"/>
              <w:spacing w:line="300" w:lineRule="exact"/>
              <w:rPr>
                <w:rFonts w:ascii="宋体"/>
              </w:rPr>
            </w:pPr>
            <w:r>
              <w:rPr>
                <w:rFonts w:hint="eastAsia" w:ascii="Calibri" w:hAnsi="Calibri"/>
                <w:szCs w:val="21"/>
              </w:rPr>
              <w:t>工程师或以上职称，工民建及相关专业；具有建设行政主管部门颁发的《安全生产考核合格证书》（</w:t>
            </w:r>
            <w:r>
              <w:rPr>
                <w:rFonts w:ascii="Calibri" w:hAnsi="Calibri"/>
                <w:szCs w:val="21"/>
              </w:rPr>
              <w:t>B</w:t>
            </w:r>
            <w:r>
              <w:rPr>
                <w:rFonts w:hint="eastAsia" w:ascii="Calibri" w:hAnsi="Calibri"/>
                <w:szCs w:val="21"/>
              </w:rPr>
              <w:t>类）。</w:t>
            </w:r>
          </w:p>
        </w:tc>
      </w:tr>
    </w:tbl>
    <w:p/>
    <w:p>
      <w:pPr>
        <w:tabs>
          <w:tab w:val="left" w:pos="2341"/>
        </w:tabs>
        <w:spacing w:line="759" w:lineRule="exact"/>
        <w:ind w:left="580"/>
        <w:jc w:val="center"/>
        <w:rPr>
          <w:rFonts w:ascii="宋体" w:hAnsi="宋体"/>
          <w:color w:val="FF0000"/>
          <w:sz w:val="28"/>
          <w:szCs w:val="28"/>
        </w:rPr>
      </w:pPr>
      <w:r>
        <w:rPr>
          <w:rFonts w:hint="eastAsia" w:ascii="宋体" w:hAnsi="宋体"/>
          <w:b/>
        </w:rPr>
        <w:br w:type="page"/>
      </w:r>
      <w:bookmarkEnd w:id="6"/>
    </w:p>
    <w:p>
      <w:pPr>
        <w:widowControl/>
        <w:jc w:val="left"/>
        <w:rPr>
          <w:rFonts w:asciiTheme="minorEastAsia" w:hAnsiTheme="minorEastAsia"/>
          <w:b/>
          <w:kern w:val="0"/>
          <w:sz w:val="32"/>
          <w:szCs w:val="32"/>
        </w:rPr>
      </w:pPr>
      <w:r>
        <w:rPr>
          <w:rFonts w:hint="eastAsia" w:asciiTheme="minorEastAsia" w:hAnsiTheme="minorEastAsia"/>
          <w:b/>
          <w:kern w:val="0"/>
          <w:sz w:val="32"/>
          <w:szCs w:val="32"/>
        </w:rPr>
        <w:t>附件3:</w:t>
      </w:r>
    </w:p>
    <w:p>
      <w:pPr>
        <w:widowControl/>
        <w:jc w:val="center"/>
        <w:rPr>
          <w:rFonts w:asciiTheme="minorEastAsia" w:hAnsiTheme="minorEastAsia"/>
          <w:b/>
          <w:kern w:val="0"/>
          <w:sz w:val="32"/>
          <w:szCs w:val="32"/>
        </w:rPr>
      </w:pPr>
      <w:r>
        <w:rPr>
          <w:rFonts w:hint="eastAsia" w:asciiTheme="minorEastAsia" w:hAnsiTheme="minorEastAsia"/>
          <w:b/>
          <w:kern w:val="0"/>
          <w:sz w:val="32"/>
          <w:szCs w:val="32"/>
        </w:rPr>
        <w:t>第三章 评审办法</w:t>
      </w:r>
    </w:p>
    <w:p>
      <w:pPr>
        <w:pStyle w:val="3"/>
        <w:spacing w:before="1"/>
        <w:ind w:left="424"/>
        <w:rPr>
          <w:rFonts w:asciiTheme="minorEastAsia" w:hAnsiTheme="minorEastAsia"/>
          <w:b/>
          <w:sz w:val="14"/>
        </w:rPr>
      </w:pPr>
      <w:r>
        <w:rPr>
          <w:rFonts w:hint="eastAsia" w:asciiTheme="minorEastAsia" w:hAnsiTheme="minorEastAsia"/>
        </w:rPr>
        <w:t>评审办法前附表</w:t>
      </w:r>
    </w:p>
    <w:tbl>
      <w:tblPr>
        <w:tblStyle w:val="7"/>
        <w:tblW w:w="90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993"/>
        <w:gridCol w:w="7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1708" w:type="dxa"/>
            <w:gridSpan w:val="2"/>
          </w:tcPr>
          <w:p>
            <w:pPr>
              <w:pStyle w:val="14"/>
              <w:spacing w:line="360" w:lineRule="auto"/>
              <w:jc w:val="center"/>
              <w:rPr>
                <w:rFonts w:asciiTheme="minorEastAsia" w:hAnsiTheme="minorEastAsia" w:eastAsiaTheme="minorEastAsia"/>
                <w:b/>
                <w:sz w:val="21"/>
                <w:lang w:eastAsia="en-US"/>
              </w:rPr>
            </w:pPr>
            <w:r>
              <w:rPr>
                <w:rFonts w:asciiTheme="minorEastAsia" w:hAnsiTheme="minorEastAsia" w:eastAsiaTheme="minorEastAsia"/>
                <w:b/>
                <w:sz w:val="21"/>
                <w:lang w:eastAsia="en-US"/>
              </w:rPr>
              <w:t>条款号</w:t>
            </w:r>
          </w:p>
        </w:tc>
        <w:tc>
          <w:tcPr>
            <w:tcW w:w="7379" w:type="dxa"/>
          </w:tcPr>
          <w:p>
            <w:pPr>
              <w:pStyle w:val="14"/>
              <w:spacing w:before="130" w:line="250" w:lineRule="exact"/>
              <w:ind w:left="2341" w:right="2329"/>
              <w:jc w:val="center"/>
              <w:rPr>
                <w:rFonts w:asciiTheme="minorEastAsia" w:hAnsiTheme="minorEastAsia" w:eastAsiaTheme="minorEastAsia"/>
                <w:b/>
                <w:sz w:val="21"/>
                <w:lang w:eastAsia="en-US"/>
              </w:rPr>
            </w:pPr>
            <w:r>
              <w:rPr>
                <w:rFonts w:asciiTheme="minorEastAsia" w:hAnsiTheme="minorEastAsia" w:eastAsiaTheme="minorEastAsia"/>
                <w:b/>
                <w:sz w:val="21"/>
                <w:lang w:eastAsia="en-US"/>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2" w:hRule="atLeast"/>
          <w:jc w:val="center"/>
        </w:trPr>
        <w:tc>
          <w:tcPr>
            <w:tcW w:w="715" w:type="dxa"/>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1</w:t>
            </w:r>
          </w:p>
        </w:tc>
        <w:tc>
          <w:tcPr>
            <w:tcW w:w="993" w:type="dxa"/>
            <w:vAlign w:val="center"/>
          </w:tcPr>
          <w:p>
            <w:pPr>
              <w:pStyle w:val="14"/>
              <w:spacing w:line="360" w:lineRule="auto"/>
              <w:jc w:val="center"/>
              <w:rPr>
                <w:rFonts w:asciiTheme="minorEastAsia" w:hAnsiTheme="minorEastAsia" w:eastAsiaTheme="minorEastAsia"/>
                <w:sz w:val="21"/>
                <w:highlight w:val="yellow"/>
                <w:lang w:eastAsia="en-US"/>
              </w:rPr>
            </w:pPr>
            <w:r>
              <w:rPr>
                <w:rFonts w:hint="eastAsia" w:asciiTheme="minorEastAsia" w:hAnsiTheme="minorEastAsia" w:eastAsiaTheme="minorEastAsia"/>
                <w:sz w:val="21"/>
              </w:rPr>
              <w:t>评审</w:t>
            </w:r>
            <w:r>
              <w:rPr>
                <w:rFonts w:asciiTheme="minorEastAsia" w:hAnsiTheme="minorEastAsia" w:eastAsiaTheme="minorEastAsia"/>
                <w:sz w:val="21"/>
                <w:lang w:eastAsia="en-US"/>
              </w:rPr>
              <w:t>方法</w:t>
            </w:r>
          </w:p>
        </w:tc>
        <w:tc>
          <w:tcPr>
            <w:tcW w:w="7379" w:type="dxa"/>
          </w:tcPr>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综合评分相等时，</w:t>
            </w:r>
            <w:r>
              <w:rPr>
                <w:rFonts w:hint="eastAsia" w:asciiTheme="minorEastAsia" w:hAnsiTheme="minorEastAsia" w:eastAsiaTheme="minorEastAsia"/>
                <w:sz w:val="21"/>
              </w:rPr>
              <w:t>评审</w:t>
            </w:r>
            <w:r>
              <w:rPr>
                <w:rFonts w:asciiTheme="minorEastAsia" w:hAnsiTheme="minorEastAsia" w:eastAsiaTheme="minorEastAsia"/>
                <w:sz w:val="21"/>
              </w:rPr>
              <w:t>委员会依次按照以下优先顺序推荐中</w:t>
            </w:r>
            <w:r>
              <w:rPr>
                <w:rFonts w:hint="eastAsia" w:asciiTheme="minorEastAsia" w:hAnsiTheme="minorEastAsia" w:eastAsiaTheme="minorEastAsia"/>
                <w:sz w:val="21"/>
              </w:rPr>
              <w:t>选</w:t>
            </w:r>
            <w:r>
              <w:rPr>
                <w:rFonts w:asciiTheme="minorEastAsia" w:hAnsiTheme="minorEastAsia" w:eastAsiaTheme="minorEastAsia"/>
                <w:sz w:val="21"/>
              </w:rPr>
              <w:t>候选人：</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rPr>
              <w:t>评审</w:t>
            </w:r>
            <w:r>
              <w:rPr>
                <w:rFonts w:asciiTheme="minorEastAsia" w:hAnsiTheme="minorEastAsia" w:eastAsiaTheme="minorEastAsia"/>
                <w:sz w:val="21"/>
              </w:rPr>
              <w:t>价低的</w:t>
            </w:r>
            <w:r>
              <w:rPr>
                <w:rFonts w:hint="eastAsia" w:asciiTheme="minorEastAsia" w:hAnsiTheme="minorEastAsia" w:eastAsiaTheme="minorEastAsia"/>
                <w:sz w:val="21"/>
              </w:rPr>
              <w:t>比选申请</w:t>
            </w:r>
            <w:r>
              <w:rPr>
                <w:rFonts w:asciiTheme="minorEastAsia" w:hAnsiTheme="minorEastAsia" w:eastAsiaTheme="minorEastAsia"/>
                <w:sz w:val="21"/>
              </w:rPr>
              <w:t>人优先；</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（2）</w:t>
            </w:r>
            <w:r>
              <w:rPr>
                <w:rFonts w:hint="eastAsia" w:asciiTheme="minorEastAsia" w:hAnsiTheme="minorEastAsia" w:eastAsiaTheme="minorEastAsia"/>
                <w:sz w:val="21"/>
              </w:rPr>
              <w:t>递交文件时间靠前的申请人优先。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5" w:hRule="atLeast"/>
          <w:jc w:val="center"/>
        </w:trPr>
        <w:tc>
          <w:tcPr>
            <w:tcW w:w="715" w:type="dxa"/>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2.1.1</w:t>
            </w:r>
          </w:p>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2.1.3</w:t>
            </w:r>
          </w:p>
        </w:tc>
        <w:tc>
          <w:tcPr>
            <w:tcW w:w="993" w:type="dxa"/>
            <w:vAlign w:val="center"/>
          </w:tcPr>
          <w:p>
            <w:pPr>
              <w:pStyle w:val="14"/>
              <w:spacing w:line="360" w:lineRule="auto"/>
              <w:jc w:val="center"/>
              <w:rPr>
                <w:rFonts w:asciiTheme="minorEastAsia" w:hAnsiTheme="minorEastAsia" w:eastAsiaTheme="minorEastAsia"/>
                <w:sz w:val="21"/>
                <w:highlight w:val="yellow"/>
              </w:rPr>
            </w:pPr>
            <w:r>
              <w:rPr>
                <w:rFonts w:asciiTheme="minorEastAsia" w:hAnsiTheme="minorEastAsia" w:eastAsiaTheme="minorEastAsia"/>
                <w:sz w:val="21"/>
              </w:rPr>
              <w:t>形式评审与响应性评审标准</w:t>
            </w:r>
          </w:p>
        </w:tc>
        <w:tc>
          <w:tcPr>
            <w:tcW w:w="7379" w:type="dxa"/>
          </w:tcPr>
          <w:p>
            <w:pPr>
              <w:rPr>
                <w:rFonts w:asciiTheme="minorEastAsia" w:hAnsiTheme="minorEastAsia"/>
                <w:b/>
                <w:szCs w:val="21"/>
              </w:rPr>
            </w:pPr>
            <w:r>
              <w:rPr>
                <w:rFonts w:hint="eastAsia" w:asciiTheme="minorEastAsia" w:hAnsiTheme="minorEastAsia"/>
                <w:b/>
                <w:szCs w:val="21"/>
              </w:rPr>
              <w:t>第一信封（商务及技术文件）评审标准：</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rPr>
              <w:t>比选申请</w:t>
            </w:r>
            <w:r>
              <w:rPr>
                <w:rFonts w:asciiTheme="minorEastAsia" w:hAnsiTheme="minorEastAsia" w:eastAsiaTheme="minorEastAsia"/>
                <w:sz w:val="21"/>
              </w:rPr>
              <w:t>文件按照比选文件规定的格式、内容填写，字迹清晰可辨：</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a.比选申请函按比选文件规定填报了项目名称、</w:t>
            </w:r>
            <w:r>
              <w:rPr>
                <w:rFonts w:hint="eastAsia" w:asciiTheme="minorEastAsia" w:hAnsiTheme="minorEastAsia" w:eastAsiaTheme="minorEastAsia"/>
                <w:sz w:val="21"/>
              </w:rPr>
              <w:t>工</w:t>
            </w:r>
            <w:r>
              <w:rPr>
                <w:rFonts w:asciiTheme="minorEastAsia" w:hAnsiTheme="minorEastAsia" w:eastAsiaTheme="minorEastAsia"/>
                <w:sz w:val="21"/>
              </w:rPr>
              <w:t>期；</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b.比选申请文件组成齐全完整，内容均按规定填写。</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（2）比选申请文件上法定代表人或其委托代理人的签字、比选申请人的单位章盖章齐全，符合比选文件规定。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3</w:t>
            </w:r>
            <w:r>
              <w:rPr>
                <w:rFonts w:asciiTheme="minorEastAsia" w:hAnsiTheme="minorEastAsia" w:eastAsiaTheme="minorEastAsia"/>
                <w:sz w:val="21"/>
              </w:rPr>
              <w:t>）比选申请人按照比选文件的规定</w:t>
            </w:r>
            <w:r>
              <w:rPr>
                <w:rFonts w:hint="eastAsia" w:asciiTheme="minorEastAsia" w:hAnsiTheme="minorEastAsia" w:eastAsiaTheme="minorEastAsia"/>
                <w:sz w:val="21"/>
              </w:rPr>
              <w:t>金额、时间、形式等要求</w:t>
            </w:r>
            <w:r>
              <w:rPr>
                <w:rFonts w:asciiTheme="minorEastAsia" w:hAnsiTheme="minorEastAsia" w:eastAsiaTheme="minorEastAsia"/>
                <w:sz w:val="21"/>
              </w:rPr>
              <w:t>提供了比选保证</w:t>
            </w:r>
            <w:r>
              <w:rPr>
                <w:rFonts w:hint="eastAsia" w:asciiTheme="minorEastAsia" w:hAnsiTheme="minorEastAsia" w:eastAsiaTheme="minorEastAsia"/>
                <w:sz w:val="21"/>
              </w:rPr>
              <w:t>金。</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4</w:t>
            </w:r>
            <w:r>
              <w:rPr>
                <w:rFonts w:asciiTheme="minorEastAsia" w:hAnsiTheme="minorEastAsia" w:eastAsiaTheme="minorEastAsia"/>
                <w:sz w:val="21"/>
              </w:rPr>
              <w:t>）比选申请人法定代表人授权委托代理人签署比选申请文件的，须提交授权委托书，且授权人和被授权人均在授权委托书上签名，未使用印章、签名章或其他电子制版签名代替。</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5</w:t>
            </w:r>
            <w:r>
              <w:rPr>
                <w:rFonts w:asciiTheme="minorEastAsia" w:hAnsiTheme="minorEastAsia" w:eastAsiaTheme="minorEastAsia"/>
                <w:sz w:val="21"/>
              </w:rPr>
              <w:t>）比选申请人法定代表人亲自签署比选申请文件的，提供了法定代表人身份证明，且法定代表人在法定代表人身份证明上签名，未使用印章、签名章或其他电子制版签名代替。</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6</w:t>
            </w:r>
            <w:r>
              <w:rPr>
                <w:rFonts w:asciiTheme="minorEastAsia" w:hAnsiTheme="minorEastAsia" w:eastAsiaTheme="minorEastAsia"/>
                <w:sz w:val="21"/>
              </w:rPr>
              <w:t>）同一比选申请人未提交两个以上不同的比选申请文件。</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7</w:t>
            </w:r>
            <w:r>
              <w:rPr>
                <w:rFonts w:asciiTheme="minorEastAsia" w:hAnsiTheme="minorEastAsia" w:eastAsiaTheme="minorEastAsia"/>
                <w:sz w:val="21"/>
              </w:rPr>
              <w:t>）比选申请文件中未出现有关比选报价的内容。</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8</w:t>
            </w:r>
            <w:r>
              <w:rPr>
                <w:rFonts w:asciiTheme="minorEastAsia" w:hAnsiTheme="minorEastAsia" w:eastAsiaTheme="minorEastAsia"/>
                <w:sz w:val="21"/>
              </w:rPr>
              <w:t>）比选申请文件载明的比选项目完成期限</w:t>
            </w:r>
            <w:r>
              <w:rPr>
                <w:rFonts w:hint="eastAsia" w:asciiTheme="minorEastAsia" w:hAnsiTheme="minorEastAsia" w:eastAsiaTheme="minorEastAsia"/>
                <w:sz w:val="21"/>
              </w:rPr>
              <w:t>满足</w:t>
            </w:r>
            <w:r>
              <w:rPr>
                <w:rFonts w:asciiTheme="minorEastAsia" w:hAnsiTheme="minorEastAsia" w:eastAsiaTheme="minorEastAsia"/>
                <w:sz w:val="21"/>
              </w:rPr>
              <w:t>比选文件规定的时限。</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9</w:t>
            </w:r>
            <w:r>
              <w:rPr>
                <w:rFonts w:asciiTheme="minorEastAsia" w:hAnsiTheme="minorEastAsia" w:eastAsiaTheme="minorEastAsia"/>
                <w:sz w:val="21"/>
              </w:rPr>
              <w:t>）比选申请文件对比选文件的实质性要求和条件作出响应。</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rPr>
              <w:t>0</w:t>
            </w:r>
            <w:r>
              <w:rPr>
                <w:rFonts w:asciiTheme="minorEastAsia" w:hAnsiTheme="minorEastAsia" w:eastAsiaTheme="minorEastAsia"/>
                <w:sz w:val="21"/>
              </w:rPr>
              <w:t>）权利义务符合比选文件规定：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a.比选申请人应接受比选文件规定的风险划分原则，未提出新的风险划分办法；</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b.比选申请人未增加发包人的责任范围，或减少比选申请人义务；</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c.比选申请人未提出不同的工程验收、计量、支付办法；</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d.比选申请人对合同纠纷、事故处理办法未提出异议；</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e.比选申请人在比选申请活动中无欺诈行为；</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f.比选申请人未对合同条款有重要保留。</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rPr>
              <w:t>1</w:t>
            </w:r>
            <w:r>
              <w:rPr>
                <w:rFonts w:asciiTheme="minorEastAsia" w:hAnsiTheme="minorEastAsia" w:eastAsiaTheme="minorEastAsia"/>
                <w:sz w:val="21"/>
              </w:rPr>
              <w:t>）比选申请文件正、副本份数符合比选文件第二章“比选申请人须知” 第 3.7.4 项规定。</w:t>
            </w:r>
          </w:p>
          <w:p>
            <w:pPr>
              <w:pStyle w:val="14"/>
              <w:spacing w:line="360" w:lineRule="auto"/>
              <w:rPr>
                <w:rFonts w:asciiTheme="minorEastAsia" w:hAnsiTheme="minorEastAsia" w:eastAsiaTheme="minorEastAsia"/>
                <w:b/>
                <w:sz w:val="21"/>
              </w:rPr>
            </w:pPr>
            <w:r>
              <w:rPr>
                <w:rFonts w:hint="eastAsia" w:asciiTheme="minorEastAsia" w:hAnsiTheme="minorEastAsia" w:eastAsiaTheme="minorEastAsia"/>
                <w:b/>
                <w:sz w:val="21"/>
              </w:rPr>
              <w:t>第二信封（报价文件）评审标准：</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（1）比选申请文件按照比选文件规定的格式、内容填写，字迹清晰可辨：</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a.比选申请函按比选文件规定填报了项目名称、比选</w:t>
            </w:r>
            <w:r>
              <w:rPr>
                <w:rFonts w:hint="eastAsia" w:asciiTheme="minorEastAsia" w:hAnsiTheme="minorEastAsia" w:eastAsiaTheme="minorEastAsia"/>
                <w:sz w:val="21"/>
              </w:rPr>
              <w:t>报</w:t>
            </w:r>
            <w:r>
              <w:rPr>
                <w:rFonts w:asciiTheme="minorEastAsia" w:hAnsiTheme="minorEastAsia" w:eastAsiaTheme="minorEastAsia"/>
                <w:sz w:val="21"/>
              </w:rPr>
              <w:t>价（包括大写金额和小写金额）；</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b.比选申请文件组成齐全完整，内容均按规定填写。</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（2）比选申请文件上法定代表人或其委托代理人的签字、比选申请人的单位章盖章齐全，符合比选文件规定。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（3）比选报价的报价未超过比选文件设定的最高</w:t>
            </w:r>
            <w:r>
              <w:rPr>
                <w:rFonts w:hint="eastAsia" w:asciiTheme="minorEastAsia" w:hAnsiTheme="minorEastAsia" w:eastAsiaTheme="minorEastAsia"/>
                <w:sz w:val="21"/>
              </w:rPr>
              <w:t>比选</w:t>
            </w:r>
            <w:r>
              <w:rPr>
                <w:rFonts w:asciiTheme="minorEastAsia" w:hAnsiTheme="minorEastAsia" w:eastAsiaTheme="minorEastAsia"/>
                <w:sz w:val="21"/>
              </w:rPr>
              <w:t>限价。</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（4）比选报价中报价的大写金额能够确定具体数值。</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（5）同一比选申请人未提交两个以上不同的比选报价。</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（6）比选申请文件正、副本份数符合比选文件第二章“比选申请人须知”第3.7.4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3" w:hRule="atLeast"/>
          <w:jc w:val="center"/>
        </w:trPr>
        <w:tc>
          <w:tcPr>
            <w:tcW w:w="715" w:type="dxa"/>
            <w:vAlign w:val="center"/>
          </w:tcPr>
          <w:p>
            <w:pPr>
              <w:pStyle w:val="14"/>
              <w:spacing w:line="360" w:lineRule="auto"/>
              <w:jc w:val="center"/>
              <w:rPr>
                <w:rFonts w:asciiTheme="minorEastAsia" w:hAnsiTheme="minorEastAsia" w:eastAsiaTheme="minorEastAsia"/>
                <w:sz w:val="21"/>
              </w:rPr>
            </w:pPr>
            <w:r>
              <w:rPr>
                <w:rFonts w:asciiTheme="minorEastAsia" w:hAnsiTheme="minorEastAsia" w:eastAsiaTheme="minorEastAsia"/>
                <w:sz w:val="21"/>
              </w:rPr>
              <w:t>2.1.2</w:t>
            </w:r>
          </w:p>
        </w:tc>
        <w:tc>
          <w:tcPr>
            <w:tcW w:w="993" w:type="dxa"/>
            <w:vAlign w:val="center"/>
          </w:tcPr>
          <w:p>
            <w:pPr>
              <w:pStyle w:val="14"/>
              <w:spacing w:line="360" w:lineRule="auto"/>
              <w:ind w:hanging="156"/>
              <w:jc w:val="center"/>
              <w:rPr>
                <w:rFonts w:asciiTheme="minorEastAsia" w:hAnsiTheme="minorEastAsia" w:eastAsiaTheme="minorEastAsia"/>
                <w:sz w:val="21"/>
              </w:rPr>
            </w:pPr>
            <w:r>
              <w:rPr>
                <w:rFonts w:asciiTheme="minorEastAsia" w:hAnsiTheme="minorEastAsia" w:eastAsiaTheme="minorEastAsia"/>
                <w:sz w:val="21"/>
              </w:rPr>
              <w:t>资格评审</w:t>
            </w:r>
          </w:p>
          <w:p>
            <w:pPr>
              <w:pStyle w:val="14"/>
              <w:spacing w:line="360" w:lineRule="auto"/>
              <w:ind w:hanging="156"/>
              <w:jc w:val="center"/>
              <w:rPr>
                <w:rFonts w:asciiTheme="minorEastAsia" w:hAnsiTheme="minorEastAsia" w:eastAsiaTheme="minorEastAsia"/>
                <w:sz w:val="11"/>
              </w:rPr>
            </w:pPr>
            <w:r>
              <w:rPr>
                <w:rFonts w:asciiTheme="minorEastAsia" w:hAnsiTheme="minorEastAsia" w:eastAsiaTheme="minorEastAsia"/>
                <w:sz w:val="21"/>
              </w:rPr>
              <w:t>标准</w:t>
            </w:r>
          </w:p>
        </w:tc>
        <w:tc>
          <w:tcPr>
            <w:tcW w:w="7379" w:type="dxa"/>
          </w:tcPr>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（1）比选申请人具备有效的营业执照、资质证书</w:t>
            </w:r>
            <w:r>
              <w:rPr>
                <w:rFonts w:hint="eastAsia" w:asciiTheme="minorEastAsia" w:hAnsiTheme="minorEastAsia" w:eastAsiaTheme="minorEastAsia"/>
                <w:sz w:val="21"/>
              </w:rPr>
              <w:t>、</w:t>
            </w:r>
            <w:r>
              <w:rPr>
                <w:rFonts w:asciiTheme="minorEastAsia" w:hAnsiTheme="minorEastAsia" w:eastAsiaTheme="minorEastAsia"/>
                <w:sz w:val="21"/>
              </w:rPr>
              <w:t>安全生产许可证和基本账户开户许可证。</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（2）比选申请人的</w:t>
            </w:r>
            <w:r>
              <w:rPr>
                <w:rFonts w:hint="eastAsia" w:ascii="宋体" w:hAnsi="宋体"/>
                <w:szCs w:val="24"/>
              </w:rPr>
              <w:t>资质</w:t>
            </w:r>
            <w:r>
              <w:rPr>
                <w:rFonts w:asciiTheme="minorEastAsia" w:hAnsiTheme="minorEastAsia" w:eastAsiaTheme="minorEastAsia"/>
                <w:sz w:val="21"/>
              </w:rPr>
              <w:t>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3</w:t>
            </w:r>
            <w:r>
              <w:rPr>
                <w:rFonts w:asciiTheme="minorEastAsia" w:hAnsiTheme="minorEastAsia" w:eastAsiaTheme="minorEastAsia"/>
                <w:sz w:val="21"/>
              </w:rPr>
              <w:t>）比选申请人的</w:t>
            </w:r>
            <w:r>
              <w:rPr>
                <w:rFonts w:hint="eastAsia" w:ascii="宋体" w:hAnsi="宋体"/>
                <w:szCs w:val="24"/>
              </w:rPr>
              <w:t>业绩</w:t>
            </w:r>
            <w:r>
              <w:rPr>
                <w:rFonts w:asciiTheme="minorEastAsia" w:hAnsiTheme="minorEastAsia" w:eastAsiaTheme="minorEastAsia"/>
                <w:sz w:val="21"/>
              </w:rPr>
              <w:t>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4</w:t>
            </w:r>
            <w:r>
              <w:rPr>
                <w:rFonts w:asciiTheme="minorEastAsia" w:hAnsiTheme="minorEastAsia" w:eastAsiaTheme="minorEastAsia"/>
                <w:sz w:val="21"/>
              </w:rPr>
              <w:t>）比选申请人的信誉符合比选文件规定。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5</w:t>
            </w:r>
            <w:r>
              <w:rPr>
                <w:rFonts w:asciiTheme="minorEastAsia" w:hAnsiTheme="minorEastAsia" w:eastAsiaTheme="minorEastAsia"/>
                <w:sz w:val="21"/>
              </w:rPr>
              <w:t>）比选申请人的</w:t>
            </w:r>
            <w:r>
              <w:rPr>
                <w:rFonts w:hint="eastAsia" w:ascii="宋体" w:hAnsi="宋体"/>
                <w:szCs w:val="24"/>
              </w:rPr>
              <w:t>项目经理及项目总工</w:t>
            </w:r>
            <w:r>
              <w:rPr>
                <w:rFonts w:asciiTheme="minorEastAsia" w:hAnsiTheme="minorEastAsia" w:eastAsiaTheme="minorEastAsia"/>
                <w:sz w:val="21"/>
              </w:rPr>
              <w:t>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6</w:t>
            </w:r>
            <w:r>
              <w:rPr>
                <w:rFonts w:asciiTheme="minorEastAsia" w:hAnsiTheme="minorEastAsia" w:eastAsiaTheme="minorEastAsia"/>
                <w:sz w:val="21"/>
              </w:rPr>
              <w:t>）比选申请人的其他要求符合比选文件规定。</w:t>
            </w:r>
          </w:p>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w:t>
            </w:r>
            <w:r>
              <w:rPr>
                <w:rFonts w:hint="eastAsia" w:asciiTheme="minorEastAsia" w:hAnsiTheme="minorEastAsia" w:eastAsiaTheme="minorEastAsia"/>
                <w:sz w:val="21"/>
              </w:rPr>
              <w:t>7</w:t>
            </w:r>
            <w:r>
              <w:rPr>
                <w:rFonts w:asciiTheme="minorEastAsia" w:hAnsiTheme="minorEastAsia" w:eastAsiaTheme="minorEastAsia"/>
                <w:sz w:val="21"/>
              </w:rPr>
              <w:t>）比选申请人不存在第二章“比选申请人须知”第 1.4.3 项或第 1.4.4 项规定的任何一种情形。</w:t>
            </w:r>
          </w:p>
        </w:tc>
      </w:tr>
    </w:tbl>
    <w:p>
      <w:pPr>
        <w:pStyle w:val="3"/>
        <w:rPr>
          <w:rFonts w:asciiTheme="minorEastAsia" w:hAnsiTheme="minorEastAsia"/>
        </w:rPr>
      </w:pPr>
      <w:r>
        <w:rPr>
          <w:rFonts w:hint="eastAsia" w:cs="宋体" w:asciiTheme="minorEastAsia" w:hAnsiTheme="minorEastAsia"/>
        </w:rPr>
        <w:t>续上表</w:t>
      </w:r>
    </w:p>
    <w:tbl>
      <w:tblPr>
        <w:tblStyle w:val="7"/>
        <w:tblW w:w="91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236"/>
        <w:gridCol w:w="60"/>
        <w:gridCol w:w="6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jc w:val="center"/>
        </w:trPr>
        <w:tc>
          <w:tcPr>
            <w:tcW w:w="999" w:type="dxa"/>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条款号</w:t>
            </w:r>
          </w:p>
        </w:tc>
        <w:tc>
          <w:tcPr>
            <w:tcW w:w="1296" w:type="dxa"/>
            <w:gridSpan w:val="2"/>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条款内容</w:t>
            </w:r>
          </w:p>
        </w:tc>
        <w:tc>
          <w:tcPr>
            <w:tcW w:w="6813" w:type="dxa"/>
          </w:tcPr>
          <w:p>
            <w:pPr>
              <w:pStyle w:val="14"/>
              <w:spacing w:line="360" w:lineRule="auto"/>
              <w:ind w:left="2109" w:right="2097"/>
              <w:jc w:val="center"/>
              <w:rPr>
                <w:rFonts w:asciiTheme="minorEastAsia" w:hAnsiTheme="minorEastAsia" w:eastAsiaTheme="minorEastAsia"/>
                <w:b/>
                <w:sz w:val="21"/>
                <w:lang w:eastAsia="en-US"/>
              </w:rPr>
            </w:pPr>
            <w:r>
              <w:rPr>
                <w:rFonts w:asciiTheme="minorEastAsia" w:hAnsiTheme="minorEastAsia" w:eastAsiaTheme="minorEastAsia"/>
                <w:b/>
                <w:sz w:val="21"/>
                <w:lang w:eastAsia="en-US"/>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jc w:val="center"/>
        </w:trPr>
        <w:tc>
          <w:tcPr>
            <w:tcW w:w="999" w:type="dxa"/>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2.2.1</w:t>
            </w:r>
          </w:p>
        </w:tc>
        <w:tc>
          <w:tcPr>
            <w:tcW w:w="1296" w:type="dxa"/>
            <w:gridSpan w:val="2"/>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分值构成（总分 100分）</w:t>
            </w:r>
          </w:p>
        </w:tc>
        <w:tc>
          <w:tcPr>
            <w:tcW w:w="6813" w:type="dxa"/>
            <w:vAlign w:val="center"/>
          </w:tcPr>
          <w:p>
            <w:pPr>
              <w:pStyle w:val="14"/>
              <w:spacing w:line="360" w:lineRule="auto"/>
              <w:ind w:firstLine="420" w:firstLineChars="200"/>
              <w:rPr>
                <w:rFonts w:asciiTheme="minorEastAsia" w:hAnsiTheme="minorEastAsia" w:eastAsiaTheme="minorEastAsia"/>
                <w:sz w:val="21"/>
              </w:rPr>
            </w:pPr>
            <w:r>
              <w:rPr>
                <w:rFonts w:asciiTheme="minorEastAsia" w:hAnsiTheme="minorEastAsia" w:eastAsiaTheme="minorEastAsia"/>
                <w:sz w:val="21"/>
              </w:rPr>
              <w:t>评审价：100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5" w:hRule="atLeast"/>
          <w:jc w:val="center"/>
        </w:trPr>
        <w:tc>
          <w:tcPr>
            <w:tcW w:w="999" w:type="dxa"/>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2.2.2</w:t>
            </w:r>
          </w:p>
        </w:tc>
        <w:tc>
          <w:tcPr>
            <w:tcW w:w="1296" w:type="dxa"/>
            <w:gridSpan w:val="2"/>
            <w:vAlign w:val="center"/>
          </w:tcPr>
          <w:p>
            <w:pPr>
              <w:pStyle w:val="14"/>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评审</w:t>
            </w:r>
            <w:r>
              <w:rPr>
                <w:rFonts w:asciiTheme="minorEastAsia" w:hAnsiTheme="minorEastAsia" w:eastAsiaTheme="minorEastAsia"/>
                <w:sz w:val="21"/>
                <w:lang w:eastAsia="en-US"/>
              </w:rPr>
              <w:t>基准价</w:t>
            </w:r>
          </w:p>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计算方法</w:t>
            </w:r>
          </w:p>
        </w:tc>
        <w:tc>
          <w:tcPr>
            <w:tcW w:w="6813" w:type="dxa"/>
            <w:vAlign w:val="center"/>
          </w:tcPr>
          <w:p>
            <w:pPr>
              <w:spacing w:line="380" w:lineRule="exact"/>
              <w:ind w:left="113" w:right="113"/>
              <w:rPr>
                <w:rFonts w:ascii="宋体" w:hAnsi="宋体"/>
                <w:szCs w:val="21"/>
              </w:rPr>
            </w:pPr>
            <w:r>
              <w:rPr>
                <w:rFonts w:hint="eastAsia" w:ascii="宋体" w:hAnsi="宋体"/>
                <w:szCs w:val="21"/>
              </w:rPr>
              <w:t>评审基准价的计算：</w:t>
            </w:r>
          </w:p>
          <w:p>
            <w:pPr>
              <w:spacing w:line="380" w:lineRule="exact"/>
              <w:ind w:left="113" w:right="113"/>
              <w:rPr>
                <w:rFonts w:ascii="宋体" w:hAnsi="宋体"/>
                <w:szCs w:val="21"/>
              </w:rPr>
            </w:pPr>
            <w:r>
              <w:rPr>
                <w:rFonts w:hint="eastAsia" w:ascii="宋体" w:hAnsi="宋体"/>
                <w:szCs w:val="21"/>
              </w:rPr>
              <w:t>在第二信封开选现场，比选人将当场计算并宣布的评审基准价。</w:t>
            </w:r>
          </w:p>
          <w:p>
            <w:pPr>
              <w:spacing w:line="380" w:lineRule="exact"/>
              <w:ind w:left="113" w:right="113"/>
              <w:rPr>
                <w:rFonts w:ascii="宋体" w:hAnsi="宋体"/>
                <w:szCs w:val="21"/>
              </w:rPr>
            </w:pPr>
            <w:r>
              <w:rPr>
                <w:rFonts w:hint="eastAsia" w:ascii="宋体" w:hAnsi="宋体"/>
                <w:szCs w:val="21"/>
              </w:rPr>
              <w:t>（1）评审价的确定：</w:t>
            </w:r>
          </w:p>
          <w:p>
            <w:pPr>
              <w:spacing w:line="380" w:lineRule="exact"/>
              <w:ind w:left="113" w:right="113"/>
              <w:rPr>
                <w:rFonts w:ascii="宋体" w:hAnsi="宋体"/>
                <w:szCs w:val="21"/>
              </w:rPr>
            </w:pPr>
            <w:r>
              <w:rPr>
                <w:rFonts w:hint="eastAsia" w:ascii="宋体" w:hAnsi="宋体"/>
                <w:szCs w:val="21"/>
              </w:rPr>
              <w:t>评审价=</w:t>
            </w:r>
            <w:r>
              <w:t>比选申请报价函</w:t>
            </w:r>
            <w:r>
              <w:rPr>
                <w:rFonts w:hint="eastAsia" w:ascii="宋体" w:hAnsi="宋体"/>
                <w:szCs w:val="21"/>
              </w:rPr>
              <w:t>文字报价</w:t>
            </w:r>
          </w:p>
          <w:p>
            <w:pPr>
              <w:spacing w:line="380" w:lineRule="exact"/>
              <w:ind w:left="113" w:right="113"/>
              <w:rPr>
                <w:rFonts w:ascii="宋体" w:hAnsi="宋体"/>
                <w:szCs w:val="21"/>
              </w:rPr>
            </w:pPr>
            <w:r>
              <w:rPr>
                <w:rFonts w:hint="eastAsia" w:ascii="宋体" w:hAnsi="宋体"/>
                <w:szCs w:val="21"/>
              </w:rPr>
              <w:t>（2）评审价平均值的计算：</w:t>
            </w:r>
          </w:p>
          <w:p>
            <w:pPr>
              <w:spacing w:line="380" w:lineRule="exact"/>
              <w:ind w:firstLine="420" w:firstLineChars="200"/>
              <w:rPr>
                <w:rFonts w:ascii="宋体" w:hAnsi="宋体"/>
              </w:rPr>
            </w:pPr>
            <w:r>
              <w:rPr>
                <w:rFonts w:hint="eastAsia" w:ascii="宋体" w:hAnsi="宋体"/>
              </w:rPr>
              <w:t>除按第二章“比选人须知”第5.2.2项规定开选现场被宣布为废标的报价</w:t>
            </w:r>
            <w:r>
              <w:rPr>
                <w:rFonts w:hint="eastAsia" w:ascii="宋体" w:hAnsi="宋体"/>
                <w:szCs w:val="21"/>
              </w:rPr>
              <w:t>和</w:t>
            </w:r>
            <w:r>
              <w:t>比选申请报价函</w:t>
            </w:r>
            <w:r>
              <w:rPr>
                <w:rFonts w:hint="eastAsia" w:ascii="宋体" w:hAnsi="宋体"/>
                <w:szCs w:val="21"/>
              </w:rPr>
              <w:t>大写金额与工程量清单中的报价不一致的之外</w:t>
            </w:r>
            <w:r>
              <w:rPr>
                <w:rFonts w:hint="eastAsia" w:ascii="宋体" w:hAnsi="宋体"/>
              </w:rPr>
              <w:t>，</w:t>
            </w:r>
            <w:r>
              <w:rPr>
                <w:rFonts w:hint="eastAsia" w:ascii="宋体" w:hAnsi="宋体"/>
                <w:szCs w:val="21"/>
              </w:rPr>
              <w:t>所有比选申请人的评审价去掉规定个数的最高值和最低值后的算术平均值即为评审价平均值。</w:t>
            </w:r>
          </w:p>
          <w:p>
            <w:pPr>
              <w:spacing w:line="380" w:lineRule="exact"/>
              <w:ind w:firstLine="420" w:firstLineChars="200"/>
              <w:rPr>
                <w:rFonts w:ascii="宋体" w:hAnsi="宋体"/>
              </w:rPr>
            </w:pPr>
            <w:r>
              <w:rPr>
                <w:rFonts w:hint="eastAsia" w:ascii="宋体" w:hAnsi="宋体"/>
              </w:rPr>
              <w:t>a、参与评审价平均值计算的投标人数量≥5家时，计算评审价平均值时去掉1个最高值和1个最低值。</w:t>
            </w:r>
          </w:p>
          <w:p>
            <w:pPr>
              <w:spacing w:line="380" w:lineRule="exact"/>
              <w:ind w:firstLine="420" w:firstLineChars="200"/>
              <w:rPr>
                <w:rFonts w:ascii="宋体" w:hAnsi="宋体"/>
              </w:rPr>
            </w:pPr>
            <w:r>
              <w:rPr>
                <w:rFonts w:hint="eastAsia" w:ascii="宋体" w:hAnsi="宋体"/>
              </w:rPr>
              <w:t>b、如果参与评审价平均值计算的投标人数量＜5家时，计算评审价平均值时不去最高值和最低值。</w:t>
            </w:r>
          </w:p>
          <w:p>
            <w:pPr>
              <w:spacing w:line="380" w:lineRule="exact"/>
              <w:ind w:left="113" w:right="113"/>
              <w:rPr>
                <w:rFonts w:ascii="宋体" w:hAnsi="宋体"/>
                <w:szCs w:val="21"/>
              </w:rPr>
            </w:pPr>
            <w:r>
              <w:rPr>
                <w:rFonts w:hint="eastAsia" w:ascii="宋体" w:hAnsi="宋体"/>
                <w:szCs w:val="21"/>
              </w:rPr>
              <w:t>（3）评审基准价的确定：</w:t>
            </w:r>
          </w:p>
          <w:p>
            <w:pPr>
              <w:pStyle w:val="14"/>
              <w:spacing w:line="360" w:lineRule="auto"/>
              <w:ind w:right="94" w:firstLine="420" w:firstLineChars="200"/>
              <w:rPr>
                <w:rFonts w:asciiTheme="minorEastAsia" w:hAnsiTheme="minorEastAsia" w:eastAsiaTheme="minorEastAsia"/>
                <w:sz w:val="21"/>
              </w:rPr>
            </w:pPr>
            <w:r>
              <w:rPr>
                <w:rFonts w:asciiTheme="minorEastAsia" w:hAnsiTheme="minorEastAsia" w:eastAsiaTheme="minorEastAsia"/>
                <w:sz w:val="21"/>
              </w:rPr>
              <w:t>将评审价平均值直接作为评审基准价。</w:t>
            </w:r>
          </w:p>
          <w:p>
            <w:pPr>
              <w:pStyle w:val="14"/>
              <w:spacing w:line="360" w:lineRule="auto"/>
              <w:ind w:right="94" w:firstLine="420" w:firstLineChars="200"/>
              <w:rPr>
                <w:rFonts w:ascii="宋体" w:hAnsi="宋体"/>
                <w:szCs w:val="21"/>
              </w:rPr>
            </w:pPr>
            <w:r>
              <w:rPr>
                <w:rFonts w:asciiTheme="minorEastAsia" w:hAnsiTheme="minorEastAsia" w:eastAsiaTheme="minorEastAsia"/>
                <w:sz w:val="21"/>
              </w:rPr>
              <w:t>在评审过程中，评审委员会应对比选人计算的评审基准价进行复核，存在计算错误的应予以修正并在评审报告中作出说明。除此之外，评审基准价在整个评审期间保持不变，不随任何因素发生变化</w:t>
            </w:r>
            <w:r>
              <w:rPr>
                <w:rFonts w:hint="eastAsia" w:asciiTheme="minorEastAsia" w:hAnsiTheme="minorEastAsia" w:eastAsiaTheme="minor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atLeast"/>
          <w:jc w:val="center"/>
        </w:trPr>
        <w:tc>
          <w:tcPr>
            <w:tcW w:w="999" w:type="dxa"/>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2.2.3</w:t>
            </w:r>
          </w:p>
        </w:tc>
        <w:tc>
          <w:tcPr>
            <w:tcW w:w="1296" w:type="dxa"/>
            <w:gridSpan w:val="2"/>
            <w:vAlign w:val="center"/>
          </w:tcPr>
          <w:p>
            <w:pPr>
              <w:pStyle w:val="14"/>
              <w:spacing w:line="360" w:lineRule="auto"/>
              <w:jc w:val="center"/>
              <w:rPr>
                <w:rFonts w:asciiTheme="minorEastAsia" w:hAnsiTheme="minorEastAsia" w:eastAsiaTheme="minorEastAsia"/>
                <w:sz w:val="21"/>
              </w:rPr>
            </w:pPr>
            <w:r>
              <w:rPr>
                <w:rFonts w:asciiTheme="minorEastAsia" w:hAnsiTheme="minorEastAsia" w:eastAsiaTheme="minorEastAsia"/>
                <w:sz w:val="21"/>
              </w:rPr>
              <w:t>评审价的偏差率计算公式</w:t>
            </w:r>
          </w:p>
        </w:tc>
        <w:tc>
          <w:tcPr>
            <w:tcW w:w="6813" w:type="dxa"/>
            <w:vAlign w:val="center"/>
          </w:tcPr>
          <w:p>
            <w:pPr>
              <w:pStyle w:val="14"/>
              <w:spacing w:line="360" w:lineRule="auto"/>
              <w:jc w:val="center"/>
              <w:rPr>
                <w:rFonts w:asciiTheme="minorEastAsia" w:hAnsiTheme="minorEastAsia" w:eastAsiaTheme="minorEastAsia"/>
                <w:sz w:val="21"/>
              </w:rPr>
            </w:pPr>
            <w:r>
              <w:rPr>
                <w:rFonts w:asciiTheme="minorEastAsia" w:hAnsiTheme="minorEastAsia" w:eastAsiaTheme="minorEastAsia"/>
                <w:sz w:val="21"/>
              </w:rPr>
              <w:t>偏差率=100% ×（比选申请人评审价－评审基准价）/评审基准价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999" w:type="dxa"/>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2.2.4</w:t>
            </w:r>
          </w:p>
        </w:tc>
        <w:tc>
          <w:tcPr>
            <w:tcW w:w="1296" w:type="dxa"/>
            <w:gridSpan w:val="2"/>
            <w:vAlign w:val="center"/>
          </w:tcPr>
          <w:p>
            <w:pPr>
              <w:pStyle w:val="14"/>
              <w:spacing w:line="360" w:lineRule="auto"/>
              <w:jc w:val="center"/>
              <w:rPr>
                <w:rFonts w:asciiTheme="minorEastAsia" w:hAnsiTheme="minorEastAsia" w:eastAsiaTheme="minorEastAsia"/>
                <w:sz w:val="21"/>
                <w:lang w:eastAsia="en-US"/>
              </w:rPr>
            </w:pPr>
            <w:r>
              <w:rPr>
                <w:rFonts w:asciiTheme="minorEastAsia" w:hAnsiTheme="minorEastAsia" w:eastAsiaTheme="minorEastAsia"/>
                <w:sz w:val="21"/>
                <w:lang w:eastAsia="en-US"/>
              </w:rPr>
              <w:t>评审价</w:t>
            </w:r>
          </w:p>
        </w:tc>
        <w:tc>
          <w:tcPr>
            <w:tcW w:w="6813" w:type="dxa"/>
          </w:tcPr>
          <w:p>
            <w:pPr>
              <w:pStyle w:val="14"/>
              <w:spacing w:line="360" w:lineRule="auto"/>
              <w:rPr>
                <w:rFonts w:asciiTheme="minorEastAsia" w:hAnsiTheme="minorEastAsia" w:eastAsiaTheme="minorEastAsia"/>
                <w:sz w:val="21"/>
              </w:rPr>
            </w:pPr>
            <w:r>
              <w:rPr>
                <w:rFonts w:asciiTheme="minorEastAsia" w:hAnsiTheme="minorEastAsia" w:eastAsiaTheme="minorEastAsia"/>
                <w:sz w:val="21"/>
              </w:rPr>
              <w:t>100 分</w:t>
            </w:r>
          </w:p>
          <w:p>
            <w:pPr>
              <w:pStyle w:val="14"/>
              <w:spacing w:line="360" w:lineRule="auto"/>
              <w:rPr>
                <w:rFonts w:asciiTheme="minorEastAsia" w:hAnsiTheme="minorEastAsia" w:eastAsiaTheme="minorEastAsia"/>
                <w:sz w:val="21"/>
              </w:rPr>
            </w:pPr>
            <w:r>
              <w:rPr>
                <w:rFonts w:asciiTheme="minorEastAsia" w:hAnsiTheme="minorEastAsia" w:eastAsiaTheme="minorEastAsia"/>
                <w:sz w:val="21"/>
              </w:rPr>
              <w:t>评审价得分计算公式示例：</w:t>
            </w:r>
          </w:p>
          <w:p>
            <w:pPr>
              <w:pStyle w:val="14"/>
              <w:spacing w:line="360" w:lineRule="auto"/>
              <w:ind w:right="94" w:firstLine="420" w:firstLineChars="200"/>
              <w:rPr>
                <w:rFonts w:asciiTheme="minorEastAsia" w:hAnsiTheme="minorEastAsia" w:eastAsiaTheme="minorEastAsia"/>
                <w:sz w:val="21"/>
              </w:rPr>
            </w:pPr>
            <w:r>
              <w:rPr>
                <w:rFonts w:asciiTheme="minorEastAsia" w:hAnsiTheme="minorEastAsia" w:eastAsiaTheme="minorEastAsia"/>
                <w:sz w:val="21"/>
              </w:rPr>
              <w:t>（1）如果比选申请人的评审价&gt;评审基准价，则评审价得分＝100－偏差率×100×E 1；</w:t>
            </w:r>
          </w:p>
          <w:p>
            <w:pPr>
              <w:pStyle w:val="14"/>
              <w:spacing w:line="360" w:lineRule="auto"/>
              <w:ind w:right="94" w:firstLine="420" w:firstLineChars="200"/>
              <w:rPr>
                <w:rFonts w:asciiTheme="minorEastAsia" w:hAnsiTheme="minorEastAsia" w:eastAsiaTheme="minorEastAsia"/>
                <w:sz w:val="21"/>
              </w:rPr>
            </w:pPr>
            <w:r>
              <w:rPr>
                <w:rFonts w:asciiTheme="minorEastAsia" w:hAnsiTheme="minorEastAsia" w:eastAsiaTheme="minorEastAsia"/>
                <w:sz w:val="21"/>
              </w:rPr>
              <w:t>（2）如果比选申请人的评审价≤评审基准价，则评审价得分＝100＋偏差率×100×E 2。</w:t>
            </w:r>
          </w:p>
          <w:p>
            <w:pPr>
              <w:pStyle w:val="14"/>
              <w:spacing w:line="360" w:lineRule="auto"/>
              <w:ind w:right="93" w:firstLine="420" w:firstLineChars="200"/>
              <w:jc w:val="both"/>
              <w:rPr>
                <w:rFonts w:asciiTheme="minorEastAsia" w:hAnsiTheme="minorEastAsia" w:eastAsiaTheme="minorEastAsia"/>
                <w:sz w:val="21"/>
              </w:rPr>
            </w:pPr>
            <w:r>
              <w:rPr>
                <w:rFonts w:asciiTheme="minorEastAsia" w:hAnsiTheme="minorEastAsia" w:eastAsiaTheme="minorEastAsia"/>
                <w:sz w:val="21"/>
              </w:rPr>
              <w:t xml:space="preserve">其中：E1 是评审价每高于评审基准价一个百分点的扣分值，E2 是评审价每低于评审基准价一个百分点的扣分值； E1 </w:t>
            </w:r>
            <w:r>
              <w:rPr>
                <w:rFonts w:hint="eastAsia" w:asciiTheme="minorEastAsia" w:hAnsiTheme="minorEastAsia" w:eastAsiaTheme="minorEastAsia"/>
                <w:sz w:val="21"/>
              </w:rPr>
              <w:t>=2，</w:t>
            </w:r>
            <w:r>
              <w:rPr>
                <w:rFonts w:asciiTheme="minorEastAsia" w:hAnsiTheme="minorEastAsia" w:eastAsiaTheme="minorEastAsia"/>
                <w:sz w:val="21"/>
              </w:rPr>
              <w:t xml:space="preserve"> E2</w:t>
            </w:r>
            <w:r>
              <w:rPr>
                <w:rFonts w:hint="eastAsia" w:asciiTheme="minorEastAsia" w:hAnsiTheme="minorEastAsia" w:eastAsiaTheme="minorEastAsia"/>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9108" w:type="dxa"/>
            <w:gridSpan w:val="4"/>
            <w:vAlign w:val="center"/>
          </w:tcPr>
          <w:p>
            <w:pPr>
              <w:pStyle w:val="14"/>
              <w:spacing w:before="92"/>
              <w:ind w:left="107"/>
              <w:rPr>
                <w:rFonts w:asciiTheme="minorEastAsia" w:hAnsiTheme="minorEastAsia" w:eastAsiaTheme="minorEastAsia"/>
                <w:sz w:val="21"/>
              </w:rPr>
            </w:pPr>
            <w:r>
              <w:rPr>
                <w:rFonts w:asciiTheme="minorEastAsia" w:hAnsiTheme="minorEastAsia" w:eastAsiaTheme="minorEastAsia"/>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235" w:type="dxa"/>
            <w:gridSpan w:val="2"/>
            <w:tcBorders>
              <w:right w:val="single" w:color="auto" w:sz="4" w:space="0"/>
            </w:tcBorders>
            <w:vAlign w:val="center"/>
          </w:tcPr>
          <w:p>
            <w:pPr>
              <w:pStyle w:val="14"/>
              <w:spacing w:before="92"/>
              <w:ind w:left="107"/>
              <w:rPr>
                <w:rFonts w:asciiTheme="minorEastAsia" w:hAnsiTheme="minorEastAsia" w:eastAsiaTheme="minorEastAsia"/>
                <w:sz w:val="21"/>
              </w:rPr>
            </w:pPr>
            <w:r>
              <w:rPr>
                <w:rFonts w:hint="eastAsia" w:asciiTheme="minorEastAsia" w:hAnsiTheme="minorEastAsia" w:eastAsiaTheme="minorEastAsia"/>
                <w:sz w:val="21"/>
              </w:rPr>
              <w:t>3.5.1</w:t>
            </w:r>
          </w:p>
        </w:tc>
        <w:tc>
          <w:tcPr>
            <w:tcW w:w="6873" w:type="dxa"/>
            <w:gridSpan w:val="2"/>
            <w:tcBorders>
              <w:left w:val="single" w:color="auto" w:sz="4" w:space="0"/>
            </w:tcBorders>
            <w:vAlign w:val="center"/>
          </w:tcPr>
          <w:p>
            <w:pPr>
              <w:pStyle w:val="14"/>
              <w:spacing w:before="92"/>
              <w:ind w:left="107"/>
              <w:rPr>
                <w:rFonts w:asciiTheme="minorEastAsia" w:hAnsiTheme="minorEastAsia" w:eastAsiaTheme="minorEastAsia"/>
                <w:sz w:val="21"/>
              </w:rPr>
            </w:pPr>
            <w:r>
              <w:rPr>
                <w:rFonts w:hint="eastAsia" w:asciiTheme="minorEastAsia" w:hAnsiTheme="minorEastAsia" w:eastAsiaTheme="minorEastAsia"/>
                <w:sz w:val="21"/>
              </w:rPr>
              <w:t>不适用。</w:t>
            </w:r>
          </w:p>
        </w:tc>
      </w:tr>
    </w:tbl>
    <w:p>
      <w:pPr>
        <w:pStyle w:val="3"/>
        <w:spacing w:before="5"/>
        <w:rPr>
          <w:rFonts w:asciiTheme="minorEastAsia" w:hAnsiTheme="minorEastAsia"/>
          <w:sz w:val="22"/>
        </w:rPr>
      </w:pPr>
    </w:p>
    <w:p>
      <w:pPr>
        <w:tabs>
          <w:tab w:val="left" w:pos="845"/>
        </w:tabs>
        <w:spacing w:line="360" w:lineRule="auto"/>
        <w:ind w:left="424"/>
        <w:rPr>
          <w:rFonts w:asciiTheme="minorEastAsia" w:hAnsiTheme="minorEastAsia"/>
          <w:b/>
          <w:szCs w:val="21"/>
        </w:rPr>
      </w:pPr>
      <w:bookmarkStart w:id="31" w:name="_bookmark95"/>
      <w:bookmarkEnd w:id="31"/>
      <w:r>
        <w:rPr>
          <w:rFonts w:hint="eastAsia" w:asciiTheme="minorEastAsia" w:hAnsiTheme="minorEastAsia"/>
          <w:b/>
          <w:szCs w:val="21"/>
        </w:rPr>
        <w:t>1.评审方法</w:t>
      </w:r>
    </w:p>
    <w:p>
      <w:pPr>
        <w:pStyle w:val="3"/>
        <w:spacing w:line="360" w:lineRule="auto"/>
        <w:ind w:firstLine="420" w:firstLineChars="200"/>
        <w:rPr>
          <w:rFonts w:asciiTheme="minorEastAsia" w:hAnsiTheme="minorEastAsia"/>
          <w:szCs w:val="21"/>
        </w:rPr>
      </w:pPr>
      <w:r>
        <w:rPr>
          <w:rFonts w:asciiTheme="minorEastAsia" w:hAnsiTheme="minorEastAsia"/>
          <w:szCs w:val="21"/>
        </w:rPr>
        <w:t>本次评审采用合理低价法。评审委员会对满足比选文件实质性要求的比选申请文件， 按照本章第 2.2 款规定的评分标准进行打分，并按得分由高到低顺序推荐中选候选人，或根据比选人授权直接确定中选人，但比选报价低于其成本的除外。综合评分相等时，评审委员会应按照评审办法前附表规定的优先次序推荐中选候选人或确定中选人。</w:t>
      </w:r>
    </w:p>
    <w:p>
      <w:pPr>
        <w:tabs>
          <w:tab w:val="left" w:pos="845"/>
        </w:tabs>
        <w:spacing w:line="360" w:lineRule="auto"/>
        <w:ind w:left="424"/>
        <w:rPr>
          <w:rFonts w:asciiTheme="minorEastAsia" w:hAnsiTheme="minorEastAsia"/>
          <w:b/>
          <w:szCs w:val="21"/>
        </w:rPr>
      </w:pPr>
      <w:bookmarkStart w:id="32" w:name="_bookmark96"/>
      <w:bookmarkEnd w:id="32"/>
      <w:r>
        <w:rPr>
          <w:rFonts w:hint="eastAsia" w:asciiTheme="minorEastAsia" w:hAnsiTheme="minorEastAsia"/>
          <w:b/>
          <w:szCs w:val="21"/>
        </w:rPr>
        <w:t>2.评审标准</w:t>
      </w:r>
    </w:p>
    <w:p>
      <w:pPr>
        <w:tabs>
          <w:tab w:val="left" w:pos="845"/>
        </w:tabs>
        <w:spacing w:line="360" w:lineRule="auto"/>
        <w:ind w:left="424"/>
        <w:rPr>
          <w:rFonts w:asciiTheme="minorEastAsia" w:hAnsiTheme="minorEastAsia"/>
          <w:b/>
          <w:szCs w:val="21"/>
        </w:rPr>
      </w:pPr>
      <w:bookmarkStart w:id="33" w:name="_bookmark97"/>
      <w:bookmarkEnd w:id="33"/>
      <w:r>
        <w:rPr>
          <w:rFonts w:hint="eastAsia" w:asciiTheme="minorEastAsia" w:hAnsiTheme="minorEastAsia"/>
          <w:b/>
          <w:szCs w:val="21"/>
        </w:rPr>
        <w:t>2.1初步评审标准</w:t>
      </w:r>
    </w:p>
    <w:p>
      <w:pPr>
        <w:pStyle w:val="13"/>
        <w:tabs>
          <w:tab w:val="left" w:pos="905"/>
        </w:tabs>
        <w:spacing w:line="360" w:lineRule="auto"/>
        <w:rPr>
          <w:rFonts w:asciiTheme="minorEastAsia" w:hAnsiTheme="minorEastAsia"/>
          <w:szCs w:val="21"/>
        </w:rPr>
      </w:pPr>
      <w:r>
        <w:rPr>
          <w:rFonts w:asciiTheme="minorEastAsia" w:hAnsiTheme="minorEastAsia"/>
          <w:szCs w:val="21"/>
        </w:rPr>
        <w:t>2.1.</w:t>
      </w:r>
      <w:r>
        <w:rPr>
          <w:rFonts w:hint="eastAsia" w:asciiTheme="minorEastAsia" w:hAnsiTheme="minorEastAsia"/>
          <w:szCs w:val="21"/>
        </w:rPr>
        <w:t>1形式评审标准：见评审办法前附表</w:t>
      </w:r>
    </w:p>
    <w:p>
      <w:pPr>
        <w:pStyle w:val="3"/>
        <w:spacing w:line="360" w:lineRule="auto"/>
        <w:ind w:firstLine="420" w:firstLineChars="200"/>
        <w:rPr>
          <w:rFonts w:asciiTheme="minorEastAsia" w:hAnsiTheme="minorEastAsia"/>
          <w:szCs w:val="21"/>
        </w:rPr>
      </w:pPr>
      <w:r>
        <w:rPr>
          <w:rFonts w:asciiTheme="minorEastAsia" w:hAnsiTheme="minorEastAsia"/>
          <w:szCs w:val="21"/>
        </w:rPr>
        <w:t>2.1.2 资格评审标准：见</w:t>
      </w:r>
      <w:r>
        <w:rPr>
          <w:rFonts w:hint="eastAsia" w:asciiTheme="minorEastAsia" w:hAnsiTheme="minorEastAsia"/>
          <w:szCs w:val="21"/>
        </w:rPr>
        <w:t>公开资格比选</w:t>
      </w:r>
      <w:r>
        <w:rPr>
          <w:rFonts w:asciiTheme="minorEastAsia" w:hAnsiTheme="minorEastAsia"/>
          <w:szCs w:val="21"/>
        </w:rPr>
        <w:t>文件第三章“</w:t>
      </w:r>
      <w:r>
        <w:rPr>
          <w:rFonts w:hint="eastAsia" w:asciiTheme="minorEastAsia" w:hAnsiTheme="minorEastAsia"/>
          <w:szCs w:val="21"/>
        </w:rPr>
        <w:t>资格</w:t>
      </w:r>
      <w:r>
        <w:rPr>
          <w:rFonts w:asciiTheme="minorEastAsia" w:hAnsiTheme="minorEastAsia"/>
          <w:szCs w:val="21"/>
        </w:rPr>
        <w:t>审查办法”详细审查标准。</w:t>
      </w:r>
    </w:p>
    <w:p>
      <w:pPr>
        <w:pStyle w:val="13"/>
        <w:tabs>
          <w:tab w:val="left" w:pos="905"/>
        </w:tabs>
        <w:spacing w:line="360" w:lineRule="auto"/>
        <w:rPr>
          <w:rFonts w:asciiTheme="minorEastAsia" w:hAnsiTheme="minorEastAsia"/>
          <w:szCs w:val="21"/>
        </w:rPr>
      </w:pPr>
      <w:r>
        <w:rPr>
          <w:rFonts w:asciiTheme="minorEastAsia" w:hAnsiTheme="minorEastAsia"/>
          <w:szCs w:val="21"/>
        </w:rPr>
        <w:t>2.1.3</w:t>
      </w:r>
      <w:r>
        <w:rPr>
          <w:rFonts w:hint="eastAsia" w:asciiTheme="minorEastAsia" w:hAnsiTheme="minorEastAsia"/>
          <w:szCs w:val="21"/>
        </w:rPr>
        <w:t>响应评审标准：见评审办法前附表</w:t>
      </w:r>
    </w:p>
    <w:p>
      <w:pPr>
        <w:tabs>
          <w:tab w:val="left" w:pos="845"/>
        </w:tabs>
        <w:spacing w:line="360" w:lineRule="auto"/>
        <w:ind w:left="424"/>
        <w:rPr>
          <w:rFonts w:asciiTheme="minorEastAsia" w:hAnsiTheme="minorEastAsia"/>
          <w:b/>
          <w:szCs w:val="21"/>
        </w:rPr>
      </w:pPr>
      <w:bookmarkStart w:id="34" w:name="_bookmark98"/>
      <w:bookmarkEnd w:id="34"/>
      <w:r>
        <w:rPr>
          <w:rFonts w:hint="eastAsia" w:asciiTheme="minorEastAsia" w:hAnsiTheme="minorEastAsia"/>
          <w:b/>
          <w:szCs w:val="21"/>
        </w:rPr>
        <w:t>2.2分值构成与评分标准</w:t>
      </w:r>
    </w:p>
    <w:p>
      <w:pPr>
        <w:pStyle w:val="13"/>
        <w:tabs>
          <w:tab w:val="left" w:pos="905"/>
        </w:tabs>
        <w:spacing w:line="360" w:lineRule="auto"/>
        <w:rPr>
          <w:rFonts w:asciiTheme="minorEastAsia" w:hAnsiTheme="minorEastAsia"/>
          <w:szCs w:val="21"/>
        </w:rPr>
      </w:pPr>
      <w:r>
        <w:rPr>
          <w:rFonts w:hint="eastAsia" w:asciiTheme="minorEastAsia" w:hAnsiTheme="minorEastAsia"/>
          <w:szCs w:val="21"/>
        </w:rPr>
        <w:t>2.2.1分值构成</w:t>
      </w:r>
    </w:p>
    <w:p>
      <w:pPr>
        <w:pStyle w:val="3"/>
        <w:spacing w:line="360" w:lineRule="auto"/>
        <w:ind w:firstLine="420" w:firstLineChars="200"/>
        <w:rPr>
          <w:rFonts w:asciiTheme="minorEastAsia" w:hAnsiTheme="minorEastAsia"/>
          <w:szCs w:val="21"/>
        </w:rPr>
      </w:pPr>
      <w:r>
        <w:rPr>
          <w:rFonts w:asciiTheme="minorEastAsia" w:hAnsiTheme="minorEastAsia"/>
          <w:szCs w:val="21"/>
        </w:rPr>
        <w:t>评审价：见评审办法前附表。</w:t>
      </w:r>
    </w:p>
    <w:p>
      <w:pPr>
        <w:pStyle w:val="13"/>
        <w:tabs>
          <w:tab w:val="left" w:pos="905"/>
        </w:tabs>
        <w:spacing w:line="360" w:lineRule="auto"/>
        <w:rPr>
          <w:rFonts w:asciiTheme="minorEastAsia" w:hAnsiTheme="minorEastAsia"/>
          <w:szCs w:val="21"/>
        </w:rPr>
      </w:pPr>
      <w:r>
        <w:rPr>
          <w:rFonts w:hint="eastAsia" w:asciiTheme="minorEastAsia" w:hAnsiTheme="minorEastAsia"/>
          <w:szCs w:val="21"/>
        </w:rPr>
        <w:t>2.2.2评审基准价计算</w:t>
      </w:r>
    </w:p>
    <w:p>
      <w:pPr>
        <w:pStyle w:val="3"/>
        <w:spacing w:line="360" w:lineRule="auto"/>
        <w:ind w:firstLine="420" w:firstLineChars="200"/>
        <w:rPr>
          <w:rFonts w:asciiTheme="minorEastAsia" w:hAnsiTheme="minorEastAsia"/>
          <w:szCs w:val="21"/>
        </w:rPr>
      </w:pPr>
      <w:r>
        <w:rPr>
          <w:rFonts w:asciiTheme="minorEastAsia" w:hAnsiTheme="minorEastAsia"/>
          <w:szCs w:val="21"/>
        </w:rPr>
        <w:t>评审基准价计算方法：见评审办法前附表。</w:t>
      </w:r>
    </w:p>
    <w:p>
      <w:pPr>
        <w:pStyle w:val="13"/>
        <w:tabs>
          <w:tab w:val="left" w:pos="905"/>
        </w:tabs>
        <w:spacing w:line="360" w:lineRule="auto"/>
        <w:rPr>
          <w:rFonts w:asciiTheme="minorEastAsia" w:hAnsiTheme="minorEastAsia"/>
          <w:szCs w:val="21"/>
        </w:rPr>
      </w:pPr>
      <w:r>
        <w:rPr>
          <w:rFonts w:hint="eastAsia" w:asciiTheme="minorEastAsia" w:hAnsiTheme="minorEastAsia"/>
          <w:szCs w:val="21"/>
        </w:rPr>
        <w:t>2.2.3评审价的偏差率计算</w:t>
      </w:r>
    </w:p>
    <w:p>
      <w:pPr>
        <w:pStyle w:val="3"/>
        <w:spacing w:line="360" w:lineRule="auto"/>
        <w:ind w:firstLine="420" w:firstLineChars="200"/>
        <w:rPr>
          <w:rFonts w:asciiTheme="minorEastAsia" w:hAnsiTheme="minorEastAsia"/>
          <w:szCs w:val="21"/>
        </w:rPr>
      </w:pPr>
      <w:r>
        <w:rPr>
          <w:rFonts w:asciiTheme="minorEastAsia" w:hAnsiTheme="minorEastAsia"/>
          <w:szCs w:val="21"/>
        </w:rPr>
        <w:t>评审价的偏差率计算公式：见评审办法前附表。</w:t>
      </w:r>
    </w:p>
    <w:p>
      <w:pPr>
        <w:pStyle w:val="13"/>
        <w:tabs>
          <w:tab w:val="left" w:pos="905"/>
        </w:tabs>
        <w:spacing w:line="360" w:lineRule="auto"/>
        <w:rPr>
          <w:rFonts w:asciiTheme="minorEastAsia" w:hAnsiTheme="minorEastAsia"/>
          <w:szCs w:val="21"/>
        </w:rPr>
      </w:pPr>
      <w:r>
        <w:rPr>
          <w:rFonts w:hint="eastAsia" w:asciiTheme="minorEastAsia" w:hAnsiTheme="minorEastAsia"/>
          <w:szCs w:val="21"/>
        </w:rPr>
        <w:t>2.2.4评分标准</w:t>
      </w:r>
    </w:p>
    <w:p>
      <w:pPr>
        <w:pStyle w:val="3"/>
        <w:spacing w:line="360" w:lineRule="auto"/>
        <w:ind w:firstLine="420" w:firstLineChars="200"/>
        <w:rPr>
          <w:rFonts w:asciiTheme="minorEastAsia" w:hAnsiTheme="minorEastAsia"/>
          <w:szCs w:val="21"/>
        </w:rPr>
      </w:pPr>
      <w:r>
        <w:rPr>
          <w:rFonts w:asciiTheme="minorEastAsia" w:hAnsiTheme="minorEastAsia"/>
          <w:szCs w:val="21"/>
        </w:rPr>
        <w:t>评审价评分标准：见评审办法前附表。</w:t>
      </w:r>
    </w:p>
    <w:p>
      <w:pPr>
        <w:tabs>
          <w:tab w:val="left" w:pos="845"/>
        </w:tabs>
        <w:spacing w:line="360" w:lineRule="auto"/>
        <w:ind w:left="424"/>
        <w:rPr>
          <w:rFonts w:asciiTheme="minorEastAsia" w:hAnsiTheme="minorEastAsia"/>
          <w:b/>
          <w:szCs w:val="21"/>
        </w:rPr>
      </w:pPr>
      <w:bookmarkStart w:id="35" w:name="_bookmark99"/>
      <w:bookmarkEnd w:id="35"/>
      <w:r>
        <w:rPr>
          <w:rFonts w:hint="eastAsia" w:asciiTheme="minorEastAsia" w:hAnsiTheme="minorEastAsia"/>
          <w:b/>
          <w:szCs w:val="21"/>
        </w:rPr>
        <w:t>3.评审程序</w:t>
      </w:r>
    </w:p>
    <w:p>
      <w:pPr>
        <w:tabs>
          <w:tab w:val="left" w:pos="845"/>
        </w:tabs>
        <w:spacing w:line="360" w:lineRule="auto"/>
        <w:ind w:left="424"/>
        <w:rPr>
          <w:rFonts w:asciiTheme="minorEastAsia" w:hAnsiTheme="minorEastAsia"/>
          <w:b/>
          <w:szCs w:val="21"/>
        </w:rPr>
      </w:pPr>
      <w:bookmarkStart w:id="36" w:name="_bookmark100"/>
      <w:bookmarkEnd w:id="36"/>
      <w:r>
        <w:rPr>
          <w:rFonts w:hint="eastAsia" w:asciiTheme="minorEastAsia" w:hAnsiTheme="minorEastAsia"/>
          <w:b/>
          <w:szCs w:val="21"/>
        </w:rPr>
        <w:t>3.1第一个信封初步评审</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3.1.1</w:t>
      </w:r>
      <w:r>
        <w:rPr>
          <w:rFonts w:asciiTheme="minorEastAsia" w:hAnsiTheme="minorEastAsia"/>
          <w:szCs w:val="21"/>
        </w:rPr>
        <w:t>评审委员会可以要求比选申请人提交第二章“比选申请人须知”第 3.5.1 项至第 3.5.6 项规定的有关证明和证件的原件，以便核验。评审委员会依据本章第 2.1 款规定的标准对比选申请文件第一个信封（商务及技术文件）进行初步评审。有一项不符合评审标准的，评审委员会应否决其比选申请。</w:t>
      </w:r>
    </w:p>
    <w:p>
      <w:pPr>
        <w:tabs>
          <w:tab w:val="left" w:pos="845"/>
        </w:tabs>
        <w:spacing w:line="360" w:lineRule="auto"/>
        <w:ind w:left="424"/>
        <w:rPr>
          <w:rFonts w:asciiTheme="minorEastAsia" w:hAnsiTheme="minorEastAsia"/>
          <w:b/>
          <w:szCs w:val="21"/>
        </w:rPr>
      </w:pPr>
      <w:bookmarkStart w:id="37" w:name="_bookmark101"/>
      <w:bookmarkEnd w:id="37"/>
      <w:r>
        <w:rPr>
          <w:rFonts w:hint="eastAsia" w:asciiTheme="minorEastAsia" w:hAnsiTheme="minorEastAsia"/>
          <w:b/>
          <w:szCs w:val="21"/>
        </w:rPr>
        <w:t>3.2第二个信封比选</w:t>
      </w:r>
    </w:p>
    <w:p>
      <w:pPr>
        <w:pStyle w:val="3"/>
        <w:spacing w:line="360" w:lineRule="auto"/>
        <w:ind w:firstLine="420" w:firstLineChars="200"/>
        <w:rPr>
          <w:rFonts w:asciiTheme="minorEastAsia" w:hAnsiTheme="minorEastAsia"/>
          <w:szCs w:val="21"/>
        </w:rPr>
      </w:pPr>
      <w:r>
        <w:rPr>
          <w:rFonts w:asciiTheme="minorEastAsia" w:hAnsiTheme="minorEastAsia"/>
          <w:szCs w:val="21"/>
        </w:rPr>
        <w:t>第一个信封（商务及技术文件）评审结束后，比选人将按照第二章“比选申请人须知” 第 5.1 款规定的时间和地点对通过比选申请文件第一个信封（商务及技术文件）评审的比选申请文件第二个信封（报价文件）进行比选。</w:t>
      </w:r>
    </w:p>
    <w:p>
      <w:pPr>
        <w:tabs>
          <w:tab w:val="left" w:pos="845"/>
        </w:tabs>
        <w:spacing w:line="360" w:lineRule="auto"/>
        <w:ind w:left="424"/>
        <w:rPr>
          <w:rFonts w:asciiTheme="minorEastAsia" w:hAnsiTheme="minorEastAsia"/>
          <w:b/>
          <w:szCs w:val="21"/>
        </w:rPr>
      </w:pPr>
      <w:bookmarkStart w:id="38" w:name="_bookmark102"/>
      <w:bookmarkEnd w:id="38"/>
      <w:r>
        <w:rPr>
          <w:rFonts w:hint="eastAsia" w:asciiTheme="minorEastAsia" w:hAnsiTheme="minorEastAsia"/>
          <w:b/>
          <w:szCs w:val="21"/>
        </w:rPr>
        <w:t>3.3第二个信封初步评审</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3.3.1</w:t>
      </w:r>
      <w:r>
        <w:rPr>
          <w:rFonts w:asciiTheme="minorEastAsia" w:hAnsiTheme="minorEastAsia"/>
          <w:szCs w:val="21"/>
        </w:rPr>
        <w:t>评审委员会依据本章第 2.1.1 项、第 2.1.3 项规定的评审标准对比选申请文件第二个信封（报价文件）进行初步评审。有一项不符合评审标准的，评审委员会应否决其比选申请。</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3.3.2</w:t>
      </w:r>
      <w:r>
        <w:rPr>
          <w:rFonts w:asciiTheme="minorEastAsia" w:hAnsiTheme="minorEastAsia"/>
          <w:szCs w:val="21"/>
        </w:rPr>
        <w:t xml:space="preserve"> 比选报价有算术错误的，评审委员会按以下原则对比选报价进行修正， 修正的价格经比选申请人书面确认后具有约束力。比选申请人不接受修正价格的，评审委员会应否决其比选申请。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（1）比选申请文件中的大写金额与小写金额不一致的，以大写金额为准；</w:t>
      </w:r>
    </w:p>
    <w:p>
      <w:pPr>
        <w:pStyle w:val="3"/>
        <w:spacing w:line="360" w:lineRule="auto"/>
        <w:ind w:firstLine="420" w:firstLineChars="200"/>
        <w:rPr>
          <w:rFonts w:asciiTheme="minorEastAsia" w:hAnsiTheme="minorEastAsia"/>
          <w:szCs w:val="21"/>
        </w:rPr>
      </w:pPr>
      <w:r>
        <w:rPr>
          <w:rFonts w:asciiTheme="minorEastAsia" w:hAnsiTheme="minorEastAsia"/>
          <w:szCs w:val="21"/>
        </w:rPr>
        <w:t>（2）总价金额与依据单价计算出的结果不一致的，以单价金额为准修正总价， 但单价金额小数点有明显错误的除外；</w:t>
      </w:r>
    </w:p>
    <w:p>
      <w:pPr>
        <w:pStyle w:val="3"/>
        <w:spacing w:line="360" w:lineRule="auto"/>
        <w:ind w:firstLine="420" w:firstLineChars="200"/>
        <w:rPr>
          <w:rFonts w:asciiTheme="minorEastAsia" w:hAnsiTheme="minorEastAsia"/>
          <w:szCs w:val="21"/>
        </w:rPr>
      </w:pPr>
      <w:r>
        <w:rPr>
          <w:rFonts w:asciiTheme="minorEastAsia" w:hAnsiTheme="minorEastAsia"/>
          <w:szCs w:val="21"/>
        </w:rPr>
        <w:t>（3）当单价与数量相乘不等于合价时，以单价计算为准，如果单价有明显的小数点位置差错，应以标出的合价为准，同时对单价予以修正；</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当各子目的合价累计不等于总价时，应以各子目合价累计数为准，修正总价。</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3.3.3</w:t>
      </w:r>
      <w:r>
        <w:rPr>
          <w:rFonts w:asciiTheme="minorEastAsia" w:hAnsiTheme="minorEastAsia"/>
          <w:szCs w:val="21"/>
        </w:rPr>
        <w:t>工程量清单中的比选报价有其他错误的，评审委员会按以下原则对比选报价进行修正，修正的价格经比选申请人书面确认后具有约束力。比选申请人不接受修正价格的，评审委员会应否决其比选申请。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3"/>
        <w:spacing w:line="360" w:lineRule="auto"/>
        <w:ind w:firstLine="420" w:firstLineChars="200"/>
        <w:rPr>
          <w:rFonts w:asciiTheme="minorEastAsia" w:hAnsiTheme="minorEastAsia"/>
          <w:szCs w:val="21"/>
        </w:rPr>
      </w:pPr>
      <w:r>
        <w:rPr>
          <w:rFonts w:asciiTheme="minorEastAsia" w:hAnsiTheme="minorEastAsia"/>
          <w:szCs w:val="21"/>
        </w:rPr>
        <w:t>（2）在比选人给定的工程量清单中多报了某个工程子目的单价、合价或总额价，或所报单价、合价或总额价增加了报价范围，则从比选报价中扣除多报的工程子目报价或工程子目报价中增加了报价范围的部分报价。</w:t>
      </w:r>
    </w:p>
    <w:p>
      <w:pPr>
        <w:pStyle w:val="3"/>
        <w:spacing w:line="360" w:lineRule="auto"/>
        <w:ind w:firstLine="420" w:firstLineChars="200"/>
        <w:rPr>
          <w:rFonts w:asciiTheme="minorEastAsia" w:hAnsiTheme="minorEastAsia"/>
          <w:szCs w:val="21"/>
        </w:rPr>
      </w:pPr>
      <w:r>
        <w:rPr>
          <w:rFonts w:asciiTheme="minorEastAsia" w:hAnsiTheme="minorEastAsia"/>
          <w:szCs w:val="21"/>
        </w:rPr>
        <w:t>（3）当单价与数量的乘积与合价（金额）虽然一致，但比选申请人修改了该子目的工程数量，则其合价按比选人给定的工程数量乘以比选申请人所报单价予以修正。</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3.3.4</w:t>
      </w:r>
      <w:r>
        <w:rPr>
          <w:rFonts w:asciiTheme="minorEastAsia" w:hAnsiTheme="minorEastAsia"/>
          <w:szCs w:val="21"/>
        </w:rPr>
        <w:t>修正后的最终比选报价若超过最高比选限价</w:t>
      </w:r>
      <w:r>
        <w:rPr>
          <w:rFonts w:hint="eastAsia" w:asciiTheme="minorEastAsia" w:hAnsiTheme="minorEastAsia"/>
          <w:szCs w:val="21"/>
        </w:rPr>
        <w:t>，</w:t>
      </w:r>
      <w:r>
        <w:rPr>
          <w:rFonts w:asciiTheme="minorEastAsia" w:hAnsiTheme="minorEastAsia"/>
          <w:szCs w:val="21"/>
        </w:rPr>
        <w:t>评审委员会应否决其比选申请。</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3.3.5</w:t>
      </w:r>
      <w:r>
        <w:rPr>
          <w:rFonts w:asciiTheme="minorEastAsia" w:hAnsiTheme="minorEastAsia"/>
          <w:szCs w:val="21"/>
        </w:rPr>
        <w:t>修正后的最终比选报价仅作为签订合同的一个依据，不参与评审价得分的计算。</w:t>
      </w:r>
    </w:p>
    <w:p>
      <w:pPr>
        <w:tabs>
          <w:tab w:val="left" w:pos="845"/>
        </w:tabs>
        <w:spacing w:line="360" w:lineRule="auto"/>
        <w:ind w:left="424"/>
        <w:rPr>
          <w:rFonts w:asciiTheme="minorEastAsia" w:hAnsiTheme="minorEastAsia"/>
          <w:b/>
          <w:szCs w:val="21"/>
        </w:rPr>
      </w:pPr>
      <w:bookmarkStart w:id="39" w:name="_bookmark103"/>
      <w:bookmarkEnd w:id="39"/>
      <w:r>
        <w:rPr>
          <w:rFonts w:hint="eastAsia" w:asciiTheme="minorEastAsia" w:hAnsiTheme="minorEastAsia"/>
          <w:b/>
          <w:szCs w:val="21"/>
        </w:rPr>
        <w:t>3.4第二个信封详细评审</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3.4.1</w:t>
      </w:r>
      <w:r>
        <w:rPr>
          <w:rFonts w:asciiTheme="minorEastAsia" w:hAnsiTheme="minorEastAsia"/>
          <w:szCs w:val="21"/>
        </w:rPr>
        <w:t>评审委员会按本章第 2.2 款规定的量化因素和分值进行打分，并计算出综合评估得分（即评审价得分）。</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3.4.2</w:t>
      </w:r>
      <w:r>
        <w:rPr>
          <w:rFonts w:asciiTheme="minorEastAsia" w:hAnsiTheme="minorEastAsia"/>
          <w:szCs w:val="21"/>
        </w:rPr>
        <w:t>比选申请人得分分值计算保留小数点后两位，小数点后第三位“四舍五入”。</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3.4.3</w:t>
      </w:r>
      <w:r>
        <w:rPr>
          <w:rFonts w:asciiTheme="minorEastAsia" w:hAnsiTheme="minorEastAsia"/>
          <w:szCs w:val="21"/>
        </w:rPr>
        <w:t>评审委员会发现比选申请人的报价明显低于其他比选报价，使得其比选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bookmarkStart w:id="40" w:name="_bookmark104"/>
      <w:bookmarkEnd w:id="40"/>
    </w:p>
    <w:p>
      <w:pPr>
        <w:pStyle w:val="3"/>
        <w:spacing w:line="360" w:lineRule="auto"/>
        <w:ind w:firstLine="420" w:firstLineChars="200"/>
        <w:rPr>
          <w:rFonts w:asciiTheme="minorEastAsia" w:hAnsiTheme="minorEastAsia"/>
          <w:b/>
          <w:szCs w:val="21"/>
        </w:rPr>
      </w:pPr>
      <w:r>
        <w:rPr>
          <w:rFonts w:hint="eastAsia" w:asciiTheme="minorEastAsia" w:hAnsiTheme="minorEastAsia"/>
          <w:b/>
          <w:szCs w:val="21"/>
        </w:rPr>
        <w:t>3.5比选申请文件相关信息的核查</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3.5.1</w:t>
      </w:r>
      <w:r>
        <w:rPr>
          <w:rFonts w:asciiTheme="minorEastAsia" w:hAnsiTheme="minorEastAsia"/>
          <w:szCs w:val="21"/>
        </w:rPr>
        <w:t>在评审过程中，评审委员会应查询交通运输主管部门“公路建设市场信用信息管理系统”，对比选申请人的资质、业绩、主要人员资历和目前在岗情况、信用等级等信息进行核实。若比选申请文件载明的信息与交通运输主管部门“公路建设市场信用信息管理系统”发布的信息不符，使得比选申请人的资格条件不符合比选文件规定的， 评审委员会应否决其比选申请。</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3.5.2</w:t>
      </w:r>
      <w:r>
        <w:rPr>
          <w:rFonts w:asciiTheme="minorEastAsia" w:hAnsiTheme="minorEastAsia"/>
          <w:szCs w:val="21"/>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（1）有下列情形之一的，属于比选申请人相互串通比选申请：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a.比选申请人之间协商比选报价等比选申请文件的实质性内容；</w:t>
      </w:r>
    </w:p>
    <w:p>
      <w:pPr>
        <w:pStyle w:val="3"/>
        <w:spacing w:line="360" w:lineRule="auto"/>
        <w:ind w:firstLine="420" w:firstLineChars="200"/>
        <w:rPr>
          <w:rFonts w:asciiTheme="minorEastAsia" w:hAnsiTheme="minorEastAsia"/>
          <w:szCs w:val="21"/>
        </w:rPr>
      </w:pPr>
      <w:r>
        <w:rPr>
          <w:rFonts w:asciiTheme="minorEastAsia" w:hAnsiTheme="minorEastAsia"/>
          <w:szCs w:val="21"/>
        </w:rPr>
        <w:t>b.比选申请人之间约定中选人；</w:t>
      </w:r>
    </w:p>
    <w:p>
      <w:pPr>
        <w:pStyle w:val="3"/>
        <w:spacing w:line="360" w:lineRule="auto"/>
        <w:ind w:firstLine="420" w:firstLineChars="200"/>
        <w:rPr>
          <w:rFonts w:asciiTheme="minorEastAsia" w:hAnsiTheme="minorEastAsia"/>
          <w:szCs w:val="21"/>
        </w:rPr>
      </w:pPr>
      <w:r>
        <w:rPr>
          <w:rFonts w:asciiTheme="minorEastAsia" w:hAnsiTheme="minorEastAsia"/>
          <w:szCs w:val="21"/>
        </w:rPr>
        <w:t>c.比选申请人之间约定部分比选申请人放弃比选申请或中选；</w:t>
      </w:r>
    </w:p>
    <w:p>
      <w:pPr>
        <w:pStyle w:val="3"/>
        <w:spacing w:line="360" w:lineRule="auto"/>
        <w:ind w:firstLine="420" w:firstLineChars="200"/>
        <w:rPr>
          <w:rFonts w:asciiTheme="minorEastAsia" w:hAnsiTheme="minorEastAsia"/>
          <w:szCs w:val="21"/>
        </w:rPr>
      </w:pPr>
      <w:r>
        <w:rPr>
          <w:rFonts w:asciiTheme="minorEastAsia" w:hAnsiTheme="minorEastAsia"/>
          <w:szCs w:val="21"/>
        </w:rPr>
        <w:t>d.属于同一集团、协会、商会等组织成员的比选申请人按照该组织要求协同比选申请；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e.比选申请人之间为谋取中选或排斥特定比选申请人而采取的其他联合行动。</w:t>
      </w:r>
    </w:p>
    <w:p>
      <w:pPr>
        <w:pStyle w:val="3"/>
        <w:spacing w:line="360" w:lineRule="auto"/>
        <w:ind w:firstLine="420" w:firstLineChars="200"/>
        <w:rPr>
          <w:rFonts w:asciiTheme="minorEastAsia" w:hAnsiTheme="minorEastAsia"/>
          <w:szCs w:val="21"/>
        </w:rPr>
      </w:pPr>
      <w:r>
        <w:rPr>
          <w:rFonts w:asciiTheme="minorEastAsia" w:hAnsiTheme="minorEastAsia"/>
          <w:szCs w:val="21"/>
        </w:rPr>
        <w:t>（2）有下列情形之一的，视为比选申请人相互串通比选申请：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 xml:space="preserve">a.不同比选申请人的比选申请文件由同一单位或个人编制； </w:t>
      </w:r>
    </w:p>
    <w:p>
      <w:pPr>
        <w:pStyle w:val="3"/>
        <w:spacing w:line="360" w:lineRule="auto"/>
        <w:ind w:firstLine="420" w:firstLineChars="200"/>
        <w:rPr>
          <w:rFonts w:asciiTheme="minorEastAsia" w:hAnsiTheme="minorEastAsia"/>
          <w:szCs w:val="21"/>
        </w:rPr>
      </w:pPr>
      <w:r>
        <w:rPr>
          <w:rFonts w:asciiTheme="minorEastAsia" w:hAnsiTheme="minorEastAsia"/>
          <w:szCs w:val="21"/>
        </w:rPr>
        <w:t>b.不同比选申请人委托同一单位或个人办理比选申请事宜；</w:t>
      </w:r>
    </w:p>
    <w:p>
      <w:pPr>
        <w:pStyle w:val="3"/>
        <w:spacing w:line="360" w:lineRule="auto"/>
        <w:ind w:firstLine="420" w:firstLineChars="200"/>
        <w:rPr>
          <w:rFonts w:asciiTheme="minorEastAsia" w:hAnsiTheme="minorEastAsia"/>
          <w:szCs w:val="21"/>
        </w:rPr>
      </w:pPr>
      <w:r>
        <w:rPr>
          <w:rFonts w:asciiTheme="minorEastAsia" w:hAnsiTheme="minorEastAsia"/>
          <w:szCs w:val="21"/>
        </w:rPr>
        <w:t>c.不同比选申请人的比选申请文件载明的项目管理成员为同一人；</w:t>
      </w:r>
    </w:p>
    <w:p>
      <w:pPr>
        <w:pStyle w:val="3"/>
        <w:spacing w:line="360" w:lineRule="auto"/>
        <w:ind w:firstLine="420" w:firstLineChars="200"/>
        <w:rPr>
          <w:rFonts w:asciiTheme="minorEastAsia" w:hAnsiTheme="minorEastAsia"/>
          <w:szCs w:val="21"/>
        </w:rPr>
      </w:pPr>
      <w:r>
        <w:rPr>
          <w:rFonts w:asciiTheme="minorEastAsia" w:hAnsiTheme="minorEastAsia"/>
          <w:szCs w:val="21"/>
        </w:rPr>
        <w:t>d.不同比选申请人的比选申请文件异常一致或比选报价呈规律性差异；</w:t>
      </w:r>
    </w:p>
    <w:p>
      <w:pPr>
        <w:pStyle w:val="3"/>
        <w:spacing w:line="360" w:lineRule="auto"/>
        <w:ind w:firstLine="420" w:firstLineChars="200"/>
        <w:rPr>
          <w:rFonts w:asciiTheme="minorEastAsia" w:hAnsiTheme="minorEastAsia"/>
          <w:szCs w:val="21"/>
        </w:rPr>
      </w:pPr>
      <w:r>
        <w:rPr>
          <w:rFonts w:asciiTheme="minorEastAsia" w:hAnsiTheme="minorEastAsia"/>
          <w:szCs w:val="21"/>
        </w:rPr>
        <w:t xml:space="preserve">e.不同比选申请人的比选申请文件相互混装；                   </w:t>
      </w:r>
    </w:p>
    <w:p>
      <w:pPr>
        <w:pStyle w:val="3"/>
        <w:spacing w:line="360" w:lineRule="auto"/>
        <w:ind w:firstLine="420" w:firstLineChars="200"/>
        <w:rPr>
          <w:rFonts w:asciiTheme="minorEastAsia" w:hAnsiTheme="minorEastAsia"/>
          <w:szCs w:val="21"/>
        </w:rPr>
      </w:pPr>
      <w:r>
        <w:rPr>
          <w:rFonts w:asciiTheme="minorEastAsia" w:hAnsiTheme="minorEastAsia"/>
          <w:szCs w:val="21"/>
        </w:rPr>
        <w:t>f.不同比选申请人的比选申请保证金从同一单位或个人的账户转出。</w:t>
      </w:r>
    </w:p>
    <w:p>
      <w:pPr>
        <w:pStyle w:val="3"/>
        <w:spacing w:line="360" w:lineRule="auto"/>
        <w:ind w:firstLine="420" w:firstLineChars="200"/>
        <w:rPr>
          <w:rFonts w:asciiTheme="minorEastAsia" w:hAnsiTheme="minorEastAsia"/>
          <w:szCs w:val="21"/>
        </w:rPr>
      </w:pPr>
      <w:r>
        <w:rPr>
          <w:rFonts w:asciiTheme="minorEastAsia" w:hAnsiTheme="minorEastAsia"/>
          <w:szCs w:val="21"/>
        </w:rPr>
        <w:t>（3）有下列情形之一的，属于比选人与比选申请人串通比选申请：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a.比选人在比选前开启比选申请文件并将有关信息泄露给其他比选申请人;</w:t>
      </w:r>
    </w:p>
    <w:p>
      <w:pPr>
        <w:pStyle w:val="3"/>
        <w:spacing w:line="360" w:lineRule="auto"/>
        <w:ind w:firstLine="420" w:firstLineChars="200"/>
        <w:rPr>
          <w:rFonts w:asciiTheme="minorEastAsia" w:hAnsiTheme="minorEastAsia"/>
          <w:szCs w:val="21"/>
        </w:rPr>
      </w:pPr>
      <w:r>
        <w:rPr>
          <w:rFonts w:asciiTheme="minorEastAsia" w:hAnsiTheme="minorEastAsia"/>
          <w:szCs w:val="21"/>
        </w:rPr>
        <w:t>b.比选人直接或间接向比选申请人泄露标底、评审委员会成员等信息；</w:t>
      </w:r>
    </w:p>
    <w:p>
      <w:pPr>
        <w:pStyle w:val="3"/>
        <w:spacing w:line="360" w:lineRule="auto"/>
        <w:ind w:firstLine="420" w:firstLineChars="200"/>
        <w:rPr>
          <w:rFonts w:asciiTheme="minorEastAsia" w:hAnsiTheme="minorEastAsia"/>
          <w:szCs w:val="21"/>
        </w:rPr>
      </w:pPr>
      <w:r>
        <w:rPr>
          <w:rFonts w:asciiTheme="minorEastAsia" w:hAnsiTheme="minorEastAsia"/>
          <w:szCs w:val="21"/>
        </w:rPr>
        <w:t>c.比选人明示或暗示比选申请人压低或抬高比选报价；</w:t>
      </w:r>
    </w:p>
    <w:p>
      <w:pPr>
        <w:pStyle w:val="3"/>
        <w:spacing w:line="360" w:lineRule="auto"/>
        <w:ind w:firstLine="420" w:firstLineChars="200"/>
        <w:rPr>
          <w:rFonts w:asciiTheme="minorEastAsia" w:hAnsiTheme="minorEastAsia"/>
          <w:szCs w:val="21"/>
        </w:rPr>
      </w:pPr>
      <w:r>
        <w:rPr>
          <w:rFonts w:asciiTheme="minorEastAsia" w:hAnsiTheme="minorEastAsia"/>
          <w:szCs w:val="21"/>
        </w:rPr>
        <w:t xml:space="preserve">d.比选人授意比选申请人撤换、修改比选申请文件；           </w:t>
      </w:r>
    </w:p>
    <w:p>
      <w:pPr>
        <w:pStyle w:val="3"/>
        <w:spacing w:line="360" w:lineRule="auto"/>
        <w:ind w:firstLine="420" w:firstLineChars="200"/>
        <w:rPr>
          <w:rFonts w:asciiTheme="minorEastAsia" w:hAnsiTheme="minorEastAsia"/>
          <w:szCs w:val="21"/>
        </w:rPr>
      </w:pPr>
      <w:r>
        <w:rPr>
          <w:rFonts w:asciiTheme="minorEastAsia" w:hAnsiTheme="minorEastAsia"/>
          <w:szCs w:val="21"/>
        </w:rPr>
        <w:t>e.比选人明示或暗示比选申请人为特定比选申请人中选提供方便；</w:t>
      </w:r>
    </w:p>
    <w:p>
      <w:pPr>
        <w:pStyle w:val="3"/>
        <w:spacing w:line="360" w:lineRule="auto"/>
        <w:ind w:firstLine="420" w:firstLineChars="200"/>
        <w:rPr>
          <w:rFonts w:asciiTheme="minorEastAsia" w:hAnsiTheme="minorEastAsia"/>
          <w:szCs w:val="21"/>
        </w:rPr>
      </w:pPr>
      <w:r>
        <w:rPr>
          <w:rFonts w:asciiTheme="minorEastAsia" w:hAnsiTheme="minorEastAsia"/>
          <w:szCs w:val="21"/>
        </w:rPr>
        <w:t>f.比选人与比选申请人为谋求特定比选申请人中选而采取的其他串通行为。</w:t>
      </w:r>
    </w:p>
    <w:p>
      <w:pPr>
        <w:pStyle w:val="3"/>
        <w:spacing w:line="360" w:lineRule="auto"/>
        <w:ind w:firstLine="420" w:firstLineChars="200"/>
        <w:rPr>
          <w:rFonts w:asciiTheme="minorEastAsia" w:hAnsiTheme="minorEastAsia"/>
          <w:szCs w:val="21"/>
        </w:rPr>
      </w:pPr>
      <w:r>
        <w:rPr>
          <w:rFonts w:asciiTheme="minorEastAsia" w:hAnsiTheme="minorEastAsia"/>
          <w:szCs w:val="21"/>
        </w:rPr>
        <w:t>（4）比选申请人有下列情形之一的，属于弄虚作假的行为：</w:t>
      </w:r>
    </w:p>
    <w:p>
      <w:pPr>
        <w:pStyle w:val="3"/>
        <w:spacing w:line="360" w:lineRule="auto"/>
        <w:ind w:firstLine="420" w:firstLineChars="200"/>
        <w:rPr>
          <w:rFonts w:asciiTheme="minorEastAsia" w:hAnsiTheme="minorEastAsia"/>
          <w:szCs w:val="21"/>
        </w:rPr>
      </w:pPr>
      <w:r>
        <w:rPr>
          <w:rFonts w:asciiTheme="minorEastAsia" w:hAnsiTheme="minorEastAsia"/>
          <w:szCs w:val="21"/>
        </w:rPr>
        <w:t>a.使用通过受让或租借等方式获取的资格、资质证书比选申请；</w:t>
      </w:r>
    </w:p>
    <w:p>
      <w:pPr>
        <w:pStyle w:val="3"/>
        <w:spacing w:line="360" w:lineRule="auto"/>
        <w:ind w:firstLine="420" w:firstLineChars="200"/>
        <w:rPr>
          <w:rFonts w:asciiTheme="minorEastAsia" w:hAnsiTheme="minorEastAsia"/>
          <w:szCs w:val="21"/>
        </w:rPr>
      </w:pPr>
      <w:r>
        <w:rPr>
          <w:rFonts w:asciiTheme="minorEastAsia" w:hAnsiTheme="minorEastAsia"/>
          <w:szCs w:val="21"/>
        </w:rPr>
        <w:t>b.使用伪造、变造的许可证件；</w:t>
      </w:r>
    </w:p>
    <w:p>
      <w:pPr>
        <w:pStyle w:val="3"/>
        <w:spacing w:line="360" w:lineRule="auto"/>
        <w:ind w:firstLine="420" w:firstLineChars="200"/>
        <w:rPr>
          <w:rFonts w:asciiTheme="minorEastAsia" w:hAnsiTheme="minorEastAsia"/>
          <w:szCs w:val="21"/>
        </w:rPr>
      </w:pPr>
      <w:r>
        <w:rPr>
          <w:rFonts w:asciiTheme="minorEastAsia" w:hAnsiTheme="minorEastAsia"/>
          <w:szCs w:val="21"/>
        </w:rPr>
        <w:t>c.提供虚假的财务状况或业绩；</w:t>
      </w:r>
    </w:p>
    <w:p>
      <w:pPr>
        <w:pStyle w:val="3"/>
        <w:spacing w:line="360" w:lineRule="auto"/>
        <w:ind w:firstLine="420" w:firstLineChars="200"/>
        <w:rPr>
          <w:rFonts w:asciiTheme="minorEastAsia" w:hAnsiTheme="minorEastAsia"/>
          <w:szCs w:val="21"/>
        </w:rPr>
      </w:pPr>
      <w:r>
        <w:rPr>
          <w:rFonts w:asciiTheme="minorEastAsia" w:hAnsiTheme="minorEastAsia"/>
          <w:szCs w:val="21"/>
        </w:rPr>
        <w:t>d.提供虚假的项目负责人或主要技术人员简历、劳动关系证明；</w:t>
      </w:r>
    </w:p>
    <w:p>
      <w:pPr>
        <w:pStyle w:val="3"/>
        <w:spacing w:line="360" w:lineRule="auto"/>
        <w:ind w:firstLine="420" w:firstLineChars="200"/>
        <w:rPr>
          <w:rFonts w:asciiTheme="minorEastAsia" w:hAnsiTheme="minorEastAsia"/>
          <w:szCs w:val="21"/>
        </w:rPr>
      </w:pPr>
      <w:r>
        <w:rPr>
          <w:rFonts w:asciiTheme="minorEastAsia" w:hAnsiTheme="minorEastAsia"/>
          <w:szCs w:val="21"/>
        </w:rPr>
        <w:t>e.提供虚假的信用状况；</w:t>
      </w:r>
    </w:p>
    <w:p>
      <w:pPr>
        <w:pStyle w:val="3"/>
        <w:spacing w:line="360" w:lineRule="auto"/>
        <w:ind w:firstLine="420" w:firstLineChars="200"/>
        <w:rPr>
          <w:rFonts w:asciiTheme="minorEastAsia" w:hAnsiTheme="minorEastAsia"/>
          <w:szCs w:val="21"/>
        </w:rPr>
      </w:pPr>
      <w:r>
        <w:rPr>
          <w:rFonts w:asciiTheme="minorEastAsia" w:hAnsiTheme="minorEastAsia"/>
          <w:szCs w:val="21"/>
        </w:rPr>
        <w:t>f.其他弄虚作假的行为。</w:t>
      </w:r>
    </w:p>
    <w:p>
      <w:pPr>
        <w:tabs>
          <w:tab w:val="left" w:pos="845"/>
        </w:tabs>
        <w:spacing w:line="360" w:lineRule="auto"/>
        <w:ind w:left="424"/>
        <w:rPr>
          <w:rFonts w:asciiTheme="minorEastAsia" w:hAnsiTheme="minorEastAsia"/>
          <w:b/>
          <w:szCs w:val="21"/>
        </w:rPr>
      </w:pPr>
      <w:r>
        <w:rPr>
          <w:rFonts w:hint="eastAsia" w:asciiTheme="minorEastAsia" w:hAnsiTheme="minorEastAsia"/>
          <w:b/>
          <w:szCs w:val="21"/>
        </w:rPr>
        <w:t>3.6比选申请文件的澄清和说明</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3.6.1</w:t>
      </w:r>
      <w:r>
        <w:rPr>
          <w:rFonts w:asciiTheme="minorEastAsia" w:hAnsiTheme="minorEastAsia"/>
          <w:szCs w:val="21"/>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3.6.2</w:t>
      </w:r>
      <w:r>
        <w:rPr>
          <w:rFonts w:asciiTheme="minorEastAsia" w:hAnsiTheme="minorEastAsia"/>
          <w:szCs w:val="21"/>
        </w:rPr>
        <w:t>澄清和说明不得超出比选申请文件的范围或改变比选申请文件的实质性内容（算术性错误的修正除外）。比选申请人的书面澄清、说明属于比选申请文件的组成部分。</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3.6.3</w:t>
      </w:r>
      <w:r>
        <w:rPr>
          <w:rFonts w:asciiTheme="minorEastAsia" w:hAnsiTheme="minorEastAsia"/>
          <w:szCs w:val="21"/>
        </w:rPr>
        <w:t>评审委员会不得暗示或诱导比选申请人作出澄清、说明，对比选申请人提交的澄清、说明有疑问的，可以要求比选申请人进一步澄清或说明，直至满足评审委员会的要求。</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3.6.4</w:t>
      </w:r>
      <w:r>
        <w:rPr>
          <w:rFonts w:asciiTheme="minorEastAsia" w:hAnsiTheme="minorEastAsia"/>
          <w:szCs w:val="21"/>
        </w:rPr>
        <w:t>凡超出比选文件规定的或给发包人带来未曾要求的利益的变化、偏差或其他因素在评审时不予考虑。</w:t>
      </w:r>
    </w:p>
    <w:p>
      <w:pPr>
        <w:tabs>
          <w:tab w:val="left" w:pos="845"/>
        </w:tabs>
        <w:spacing w:line="360" w:lineRule="auto"/>
        <w:ind w:left="424"/>
        <w:rPr>
          <w:rFonts w:asciiTheme="minorEastAsia" w:hAnsiTheme="minorEastAsia"/>
          <w:b/>
          <w:szCs w:val="21"/>
        </w:rPr>
      </w:pPr>
      <w:r>
        <w:rPr>
          <w:rFonts w:hint="eastAsia" w:asciiTheme="minorEastAsia" w:hAnsiTheme="minorEastAsia"/>
          <w:b/>
          <w:szCs w:val="21"/>
        </w:rPr>
        <w:t>3.7不得否决比选申请的情形</w:t>
      </w:r>
    </w:p>
    <w:p>
      <w:pPr>
        <w:pStyle w:val="3"/>
        <w:spacing w:line="360" w:lineRule="auto"/>
        <w:ind w:firstLine="420" w:firstLineChars="200"/>
        <w:rPr>
          <w:rFonts w:asciiTheme="minorEastAsia" w:hAnsiTheme="minorEastAsia"/>
          <w:szCs w:val="21"/>
        </w:rPr>
      </w:pPr>
      <w:r>
        <w:rPr>
          <w:rFonts w:asciiTheme="minorEastAsia" w:hAnsiTheme="minorEastAsia"/>
          <w:szCs w:val="21"/>
        </w:rPr>
        <w:t>比选申请文件存在第二章“比选申请人须知”第 1.12.3 项所列情形的，均视为细微偏差，评审委员会不得否决比选申请人的比选申请，应按照第二章“比选申请人须知”第 1.12.4 项规定的原则处理。</w:t>
      </w:r>
    </w:p>
    <w:p>
      <w:pPr>
        <w:tabs>
          <w:tab w:val="left" w:pos="845"/>
        </w:tabs>
        <w:spacing w:line="360" w:lineRule="auto"/>
        <w:ind w:left="424"/>
        <w:rPr>
          <w:rFonts w:asciiTheme="minorEastAsia" w:hAnsiTheme="minorEastAsia"/>
          <w:b/>
          <w:szCs w:val="21"/>
        </w:rPr>
      </w:pPr>
      <w:r>
        <w:rPr>
          <w:rFonts w:hint="eastAsia" w:asciiTheme="minorEastAsia" w:hAnsiTheme="minorEastAsia"/>
          <w:b/>
          <w:szCs w:val="21"/>
        </w:rPr>
        <w:t>3.8评审结果</w:t>
      </w:r>
    </w:p>
    <w:p>
      <w:pPr>
        <w:pStyle w:val="3"/>
        <w:spacing w:line="360" w:lineRule="auto"/>
        <w:ind w:firstLine="420" w:firstLineChars="200"/>
        <w:rPr>
          <w:rFonts w:asciiTheme="minorEastAsia" w:hAnsiTheme="minorEastAsia"/>
          <w:szCs w:val="21"/>
        </w:rPr>
      </w:pPr>
      <w:r>
        <w:rPr>
          <w:rFonts w:hint="eastAsia" w:asciiTheme="minorEastAsia" w:hAnsiTheme="minorEastAsia"/>
          <w:szCs w:val="21"/>
        </w:rPr>
        <w:t>3.8.1</w:t>
      </w:r>
      <w:r>
        <w:rPr>
          <w:rFonts w:asciiTheme="minorEastAsia" w:hAnsiTheme="minorEastAsia"/>
          <w:szCs w:val="21"/>
        </w:rPr>
        <w:t>除第二章“比选申请人须知”前附表授权直接确定中选人外，评审委员会按照得分由高到低的顺序推荐中选候选人，并标明排序。</w:t>
      </w:r>
    </w:p>
    <w:p>
      <w:pPr>
        <w:pStyle w:val="3"/>
        <w:spacing w:line="360" w:lineRule="auto"/>
        <w:ind w:firstLine="420" w:firstLineChars="200"/>
      </w:pPr>
      <w:r>
        <w:rPr>
          <w:rFonts w:asciiTheme="minorEastAsia" w:hAnsiTheme="minorEastAsia"/>
          <w:szCs w:val="21"/>
        </w:rPr>
        <w:t>评审委员会完成评审后，应向比选人提交书面评审报告。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Noto Sans CJK JP Regular">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79"/>
    <w:rsid w:val="001C5B84"/>
    <w:rsid w:val="005720F5"/>
    <w:rsid w:val="00696ED2"/>
    <w:rsid w:val="008E20E7"/>
    <w:rsid w:val="009E5379"/>
    <w:rsid w:val="00E751BA"/>
    <w:rsid w:val="00FA7149"/>
    <w:rsid w:val="7DEC2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line="360" w:lineRule="auto"/>
      <w:outlineLvl w:val="2"/>
    </w:pPr>
    <w:rPr>
      <w:b/>
      <w:bCs/>
      <w:sz w:val="24"/>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qFormat/>
    <w:uiPriority w:val="0"/>
    <w:pPr>
      <w:spacing w:after="120"/>
    </w:pPr>
    <w:rPr>
      <w:rFonts w:asciiTheme="minorHAnsi" w:hAnsiTheme="minorHAnsi" w:eastAsiaTheme="minorEastAsia" w:cstheme="minorBidi"/>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3 Char"/>
    <w:basedOn w:val="8"/>
    <w:link w:val="2"/>
    <w:semiHidden/>
    <w:qFormat/>
    <w:uiPriority w:val="9"/>
    <w:rPr>
      <w:rFonts w:ascii="Times New Roman" w:hAnsi="Times New Roman" w:eastAsia="宋体" w:cs="Times New Roman"/>
      <w:b/>
      <w:bCs/>
      <w:sz w:val="32"/>
      <w:szCs w:val="32"/>
    </w:rPr>
  </w:style>
  <w:style w:type="character" w:customStyle="1" w:styleId="10">
    <w:name w:val="正文文本 Char"/>
    <w:link w:val="3"/>
    <w:qFormat/>
    <w:locked/>
    <w:uiPriority w:val="0"/>
    <w:rPr>
      <w:szCs w:val="24"/>
    </w:rPr>
  </w:style>
  <w:style w:type="character" w:customStyle="1" w:styleId="11">
    <w:name w:val="标题 3 Char1"/>
    <w:link w:val="2"/>
    <w:qFormat/>
    <w:uiPriority w:val="0"/>
    <w:rPr>
      <w:rFonts w:ascii="Times New Roman" w:hAnsi="Times New Roman" w:eastAsia="宋体" w:cs="Times New Roman"/>
      <w:b/>
      <w:bCs/>
      <w:sz w:val="24"/>
      <w:szCs w:val="32"/>
    </w:rPr>
  </w:style>
  <w:style w:type="character" w:customStyle="1" w:styleId="12">
    <w:name w:val="正文文本 Char1"/>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1"/>
    <w:pPr>
      <w:ind w:firstLine="420" w:firstLineChars="200"/>
    </w:pPr>
  </w:style>
  <w:style w:type="paragraph" w:customStyle="1" w:styleId="14">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character" w:customStyle="1" w:styleId="15">
    <w:name w:val="页眉 Char"/>
    <w:basedOn w:val="8"/>
    <w:link w:val="5"/>
    <w:semiHidden/>
    <w:qFormat/>
    <w:uiPriority w:val="99"/>
    <w:rPr>
      <w:rFonts w:ascii="Times New Roman" w:hAnsi="Times New Roman" w:eastAsia="宋体" w:cs="Times New Roman"/>
      <w:sz w:val="18"/>
      <w:szCs w:val="18"/>
    </w:rPr>
  </w:style>
  <w:style w:type="character" w:customStyle="1" w:styleId="16">
    <w:name w:val="页脚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1137</Words>
  <Characters>6482</Characters>
  <Lines>54</Lines>
  <Paragraphs>15</Paragraphs>
  <TotalTime>15</TotalTime>
  <ScaleCrop>false</ScaleCrop>
  <LinksUpToDate>false</LinksUpToDate>
  <CharactersWithSpaces>7604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2019-06-05T01:07:00Z</dcterms:created>
  <dc:creator>aa</dc:creator>
  <cp:lastModifiedBy>0</cp:lastModifiedBy>
  <dcterms:modified xsi:type="dcterms:W3CDTF">2019-06-11T02:08:02Z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